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0A1E" w:rsidR="00647B4D" w:rsidP="00223876" w:rsidRDefault="00A0569E" w14:paraId="3A3F6D98" w14:textId="410AA6BD">
      <w:pPr>
        <w:pStyle w:val="Titel"/>
        <w:rPr>
          <w:i/>
          <w:iCs/>
        </w:rPr>
      </w:pPr>
      <w:r>
        <w:t>Règlement</w:t>
      </w:r>
      <w:r w:rsidRPr="00D20A1E">
        <w:rPr>
          <w:i/>
          <w:iCs/>
        </w:rPr>
        <w:t xml:space="preserve"> </w:t>
      </w:r>
    </w:p>
    <w:p w:rsidRPr="00D20A1E" w:rsidR="00647B4D" w:rsidP="00223876" w:rsidRDefault="00647B4D" w14:paraId="1FBF6A91" w14:textId="77777777">
      <w:pPr>
        <w:pStyle w:val="Titel"/>
        <w:rPr>
          <w:i/>
          <w:iCs/>
        </w:rPr>
      </w:pPr>
    </w:p>
    <w:p w:rsidR="00D625E5" w:rsidP="00646CC7" w:rsidRDefault="00646CC7" w14:paraId="72615A92" w14:textId="77777777">
      <w:pPr>
        <w:pStyle w:val="Titel"/>
        <w:rPr>
          <w:b w:val="0"/>
          <w:i/>
        </w:rPr>
      </w:pPr>
      <w:r>
        <w:rPr>
          <w:b w:val="0"/>
          <w:i/>
        </w:rPr>
        <w:t>Science Promotion Program</w:t>
      </w:r>
    </w:p>
    <w:p w:rsidRPr="004F5A71" w:rsidR="00646CC7" w:rsidP="00646CC7" w:rsidRDefault="00646CC7" w14:paraId="79C8C4C7" w14:textId="03F1E817">
      <w:pPr>
        <w:pStyle w:val="Titel"/>
        <w:rPr>
          <w:b w:val="0"/>
          <w:bCs/>
          <w:i/>
          <w:iCs/>
        </w:rPr>
      </w:pPr>
      <w:r>
        <w:rPr>
          <w:b w:val="0"/>
          <w:i/>
        </w:rPr>
        <w:t xml:space="preserve"> (Programme de sensibilisation aux sciences) </w:t>
      </w:r>
    </w:p>
    <w:p w:rsidRPr="00D20A1E" w:rsidR="00AF4446" w:rsidP="00646CC7" w:rsidRDefault="00882378" w14:paraId="1F4D30F3" w14:textId="33C3C542">
      <w:pPr>
        <w:pStyle w:val="Titel"/>
        <w:rPr>
          <w:b w:val="0"/>
          <w:bCs/>
        </w:rPr>
      </w:pPr>
      <w:r>
        <w:rPr>
          <w:b w:val="0"/>
          <w:i/>
        </w:rPr>
        <w:t>SP-PROGRAM</w:t>
      </w:r>
    </w:p>
    <w:p w:rsidRPr="00D20A1E" w:rsidR="00223876" w:rsidP="00575DFF" w:rsidRDefault="00223876" w14:paraId="3C292841" w14:textId="54A2B678">
      <w:pPr>
        <w:rPr>
          <w:bCs/>
        </w:rPr>
      </w:pPr>
    </w:p>
    <w:sdt>
      <w:sdtPr>
        <w:rPr>
          <w:rFonts w:ascii="Calibri" w:hAnsi="Calibri" w:eastAsia="Calibri" w:cs="Times New Roman"/>
          <w:color w:val="auto"/>
          <w:sz w:val="24"/>
          <w:szCs w:val="24"/>
          <w:lang w:eastAsia="en-US"/>
        </w:rPr>
        <w:id w:val="1799024277"/>
        <w:docPartObj>
          <w:docPartGallery w:val="Table of Contents"/>
          <w:docPartUnique/>
        </w:docPartObj>
      </w:sdtPr>
      <w:sdtEndPr>
        <w:rPr>
          <w:rFonts w:ascii="Calibri" w:hAnsi="Calibri" w:eastAsia="Calibri" w:cs="Times New Roman"/>
          <w:b w:val="1"/>
          <w:bCs w:val="1"/>
          <w:color w:val="auto"/>
          <w:sz w:val="24"/>
          <w:szCs w:val="24"/>
          <w:lang w:eastAsia="en-US"/>
        </w:rPr>
      </w:sdtEndPr>
      <w:sdtContent>
        <w:p w:rsidR="00DF5956" w:rsidRDefault="00DF5956" w14:paraId="5985D7EF" w14:textId="1DB4A152">
          <w:pPr>
            <w:pStyle w:val="Kopvaninhoudsopgave"/>
          </w:pPr>
          <w:r>
            <w:t>Table des matières</w:t>
          </w:r>
        </w:p>
        <w:p w:rsidR="00C854A7" w:rsidRDefault="00DF5956" w14:paraId="6B83E0B0" w14:textId="038A1CA9">
          <w:pPr>
            <w:pStyle w:val="Inhopg1"/>
            <w:rPr>
              <w:rFonts w:asciiTheme="minorHAnsi" w:hAnsiTheme="minorHAnsi" w:eastAsiaTheme="minorEastAsia" w:cstheme="minorBidi"/>
              <w:noProof/>
              <w:kern w:val="2"/>
              <w:lang w:val="nl-BE" w:eastAsia="nl-BE"/>
              <w14:ligatures w14:val="standardContextual"/>
            </w:rPr>
          </w:pPr>
          <w:r>
            <w:fldChar w:fldCharType="begin"/>
          </w:r>
          <w:r>
            <w:instrText xml:space="preserve"> TOC \o "1-3" \h \z \u </w:instrText>
          </w:r>
          <w:r>
            <w:fldChar w:fldCharType="separate"/>
          </w:r>
          <w:hyperlink w:history="1" w:anchor="_Toc160549713">
            <w:r w:rsidRPr="00F415CB" w:rsidR="00C854A7">
              <w:rPr>
                <w:rStyle w:val="Hyperlink"/>
                <w:noProof/>
              </w:rPr>
              <w:t>1.</w:t>
            </w:r>
            <w:r w:rsidR="00C854A7">
              <w:rPr>
                <w:rFonts w:asciiTheme="minorHAnsi" w:hAnsiTheme="minorHAnsi" w:eastAsiaTheme="minorEastAsia" w:cstheme="minorBidi"/>
                <w:noProof/>
                <w:kern w:val="2"/>
                <w:lang w:val="nl-BE" w:eastAsia="nl-BE"/>
                <w14:ligatures w14:val="standardContextual"/>
              </w:rPr>
              <w:tab/>
            </w:r>
            <w:r w:rsidRPr="00F415CB" w:rsidR="00C854A7">
              <w:rPr>
                <w:rStyle w:val="Hyperlink"/>
                <w:noProof/>
              </w:rPr>
              <w:t>Introduction</w:t>
            </w:r>
            <w:r w:rsidR="00C854A7">
              <w:rPr>
                <w:noProof/>
                <w:webHidden/>
              </w:rPr>
              <w:tab/>
            </w:r>
            <w:r w:rsidR="00C854A7">
              <w:rPr>
                <w:noProof/>
                <w:webHidden/>
              </w:rPr>
              <w:fldChar w:fldCharType="begin"/>
            </w:r>
            <w:r w:rsidR="00C854A7">
              <w:rPr>
                <w:noProof/>
                <w:webHidden/>
              </w:rPr>
              <w:instrText xml:space="preserve"> PAGEREF _Toc160549713 \h </w:instrText>
            </w:r>
            <w:r w:rsidR="00C854A7">
              <w:rPr>
                <w:noProof/>
                <w:webHidden/>
              </w:rPr>
            </w:r>
            <w:r w:rsidR="00C854A7">
              <w:rPr>
                <w:noProof/>
                <w:webHidden/>
              </w:rPr>
              <w:fldChar w:fldCharType="separate"/>
            </w:r>
            <w:r w:rsidR="00C854A7">
              <w:rPr>
                <w:noProof/>
                <w:webHidden/>
              </w:rPr>
              <w:t>2</w:t>
            </w:r>
            <w:r w:rsidR="00C854A7">
              <w:rPr>
                <w:noProof/>
                <w:webHidden/>
              </w:rPr>
              <w:fldChar w:fldCharType="end"/>
            </w:r>
          </w:hyperlink>
        </w:p>
        <w:p w:rsidR="00C854A7" w:rsidRDefault="00C854A7" w14:paraId="3D4FB906" w14:textId="58054628">
          <w:pPr>
            <w:pStyle w:val="Inhopg1"/>
            <w:rPr>
              <w:rFonts w:asciiTheme="minorHAnsi" w:hAnsiTheme="minorHAnsi" w:eastAsiaTheme="minorEastAsia" w:cstheme="minorBidi"/>
              <w:noProof/>
              <w:kern w:val="2"/>
              <w:lang w:val="nl-BE" w:eastAsia="nl-BE"/>
              <w14:ligatures w14:val="standardContextual"/>
            </w:rPr>
          </w:pPr>
          <w:hyperlink w:history="1" w:anchor="_Toc160549714">
            <w:r w:rsidRPr="00F415CB">
              <w:rPr>
                <w:rStyle w:val="Hyperlink"/>
                <w:noProof/>
              </w:rPr>
              <w:t>2.</w:t>
            </w:r>
            <w:r>
              <w:rPr>
                <w:rFonts w:asciiTheme="minorHAnsi" w:hAnsiTheme="minorHAnsi" w:eastAsiaTheme="minorEastAsia" w:cstheme="minorBidi"/>
                <w:noProof/>
                <w:kern w:val="2"/>
                <w:lang w:val="nl-BE" w:eastAsia="nl-BE"/>
                <w14:ligatures w14:val="standardContextual"/>
              </w:rPr>
              <w:tab/>
            </w:r>
            <w:r w:rsidRPr="00F415CB">
              <w:rPr>
                <w:rStyle w:val="Hyperlink"/>
                <w:noProof/>
              </w:rPr>
              <w:t>SP-PROGRAM vs SP-EVENT</w:t>
            </w:r>
            <w:r>
              <w:rPr>
                <w:noProof/>
                <w:webHidden/>
              </w:rPr>
              <w:tab/>
            </w:r>
            <w:r>
              <w:rPr>
                <w:noProof/>
                <w:webHidden/>
              </w:rPr>
              <w:fldChar w:fldCharType="begin"/>
            </w:r>
            <w:r>
              <w:rPr>
                <w:noProof/>
                <w:webHidden/>
              </w:rPr>
              <w:instrText xml:space="preserve"> PAGEREF _Toc160549714 \h </w:instrText>
            </w:r>
            <w:r>
              <w:rPr>
                <w:noProof/>
                <w:webHidden/>
              </w:rPr>
            </w:r>
            <w:r>
              <w:rPr>
                <w:noProof/>
                <w:webHidden/>
              </w:rPr>
              <w:fldChar w:fldCharType="separate"/>
            </w:r>
            <w:r>
              <w:rPr>
                <w:noProof/>
                <w:webHidden/>
              </w:rPr>
              <w:t>2</w:t>
            </w:r>
            <w:r>
              <w:rPr>
                <w:noProof/>
                <w:webHidden/>
              </w:rPr>
              <w:fldChar w:fldCharType="end"/>
            </w:r>
          </w:hyperlink>
        </w:p>
        <w:p w:rsidR="00C854A7" w:rsidRDefault="00C854A7" w14:paraId="3679E309" w14:textId="771FC55C">
          <w:pPr>
            <w:pStyle w:val="Inhopg1"/>
            <w:rPr>
              <w:rFonts w:asciiTheme="minorHAnsi" w:hAnsiTheme="minorHAnsi" w:eastAsiaTheme="minorEastAsia" w:cstheme="minorBidi"/>
              <w:noProof/>
              <w:kern w:val="2"/>
              <w:lang w:val="nl-BE" w:eastAsia="nl-BE"/>
              <w14:ligatures w14:val="standardContextual"/>
            </w:rPr>
          </w:pPr>
          <w:hyperlink w:history="1" w:anchor="_Toc160549715">
            <w:r w:rsidRPr="00F415CB">
              <w:rPr>
                <w:rStyle w:val="Hyperlink"/>
                <w:noProof/>
              </w:rPr>
              <w:t>3.</w:t>
            </w:r>
            <w:r>
              <w:rPr>
                <w:rFonts w:asciiTheme="minorHAnsi" w:hAnsiTheme="minorHAnsi" w:eastAsiaTheme="minorEastAsia" w:cstheme="minorBidi"/>
                <w:noProof/>
                <w:kern w:val="2"/>
                <w:lang w:val="nl-BE" w:eastAsia="nl-BE"/>
                <w14:ligatures w14:val="standardContextual"/>
              </w:rPr>
              <w:tab/>
            </w:r>
            <w:r w:rsidRPr="00F415CB">
              <w:rPr>
                <w:rStyle w:val="Hyperlink"/>
                <w:noProof/>
              </w:rPr>
              <w:t>Éligibilité</w:t>
            </w:r>
            <w:r>
              <w:rPr>
                <w:noProof/>
                <w:webHidden/>
              </w:rPr>
              <w:tab/>
            </w:r>
            <w:r>
              <w:rPr>
                <w:noProof/>
                <w:webHidden/>
              </w:rPr>
              <w:fldChar w:fldCharType="begin"/>
            </w:r>
            <w:r>
              <w:rPr>
                <w:noProof/>
                <w:webHidden/>
              </w:rPr>
              <w:instrText xml:space="preserve"> PAGEREF _Toc160549715 \h </w:instrText>
            </w:r>
            <w:r>
              <w:rPr>
                <w:noProof/>
                <w:webHidden/>
              </w:rPr>
            </w:r>
            <w:r>
              <w:rPr>
                <w:noProof/>
                <w:webHidden/>
              </w:rPr>
              <w:fldChar w:fldCharType="separate"/>
            </w:r>
            <w:r>
              <w:rPr>
                <w:noProof/>
                <w:webHidden/>
              </w:rPr>
              <w:t>4</w:t>
            </w:r>
            <w:r>
              <w:rPr>
                <w:noProof/>
                <w:webHidden/>
              </w:rPr>
              <w:fldChar w:fldCharType="end"/>
            </w:r>
          </w:hyperlink>
        </w:p>
        <w:p w:rsidR="00C854A7" w:rsidRDefault="00C854A7" w14:paraId="7D07B186" w14:textId="2552038D">
          <w:pPr>
            <w:pStyle w:val="Inhopg2"/>
            <w:tabs>
              <w:tab w:val="right" w:leader="dot" w:pos="9062"/>
            </w:tabs>
            <w:rPr>
              <w:rFonts w:asciiTheme="minorHAnsi" w:hAnsiTheme="minorHAnsi" w:eastAsiaTheme="minorEastAsia" w:cstheme="minorBidi"/>
              <w:noProof/>
              <w:kern w:val="2"/>
              <w:lang w:val="nl-BE" w:eastAsia="nl-BE"/>
              <w14:ligatures w14:val="standardContextual"/>
            </w:rPr>
          </w:pPr>
          <w:hyperlink w:history="1" w:anchor="_Toc160549716">
            <w:r w:rsidRPr="00F415CB">
              <w:rPr>
                <w:rStyle w:val="Hyperlink"/>
                <w:noProof/>
              </w:rPr>
              <w:t>Quelles sont les organisations éligibles ?</w:t>
            </w:r>
            <w:r>
              <w:rPr>
                <w:noProof/>
                <w:webHidden/>
              </w:rPr>
              <w:tab/>
            </w:r>
            <w:r>
              <w:rPr>
                <w:noProof/>
                <w:webHidden/>
              </w:rPr>
              <w:fldChar w:fldCharType="begin"/>
            </w:r>
            <w:r>
              <w:rPr>
                <w:noProof/>
                <w:webHidden/>
              </w:rPr>
              <w:instrText xml:space="preserve"> PAGEREF _Toc160549716 \h </w:instrText>
            </w:r>
            <w:r>
              <w:rPr>
                <w:noProof/>
                <w:webHidden/>
              </w:rPr>
            </w:r>
            <w:r>
              <w:rPr>
                <w:noProof/>
                <w:webHidden/>
              </w:rPr>
              <w:fldChar w:fldCharType="separate"/>
            </w:r>
            <w:r>
              <w:rPr>
                <w:noProof/>
                <w:webHidden/>
              </w:rPr>
              <w:t>5</w:t>
            </w:r>
            <w:r>
              <w:rPr>
                <w:noProof/>
                <w:webHidden/>
              </w:rPr>
              <w:fldChar w:fldCharType="end"/>
            </w:r>
          </w:hyperlink>
        </w:p>
        <w:p w:rsidR="00C854A7" w:rsidRDefault="00C854A7" w14:paraId="2B32590B" w14:textId="2915CA56">
          <w:pPr>
            <w:pStyle w:val="Inhopg2"/>
            <w:tabs>
              <w:tab w:val="right" w:leader="dot" w:pos="9062"/>
            </w:tabs>
            <w:rPr>
              <w:rFonts w:asciiTheme="minorHAnsi" w:hAnsiTheme="minorHAnsi" w:eastAsiaTheme="minorEastAsia" w:cstheme="minorBidi"/>
              <w:noProof/>
              <w:kern w:val="2"/>
              <w:lang w:val="nl-BE" w:eastAsia="nl-BE"/>
              <w14:ligatures w14:val="standardContextual"/>
            </w:rPr>
          </w:pPr>
          <w:hyperlink w:history="1" w:anchor="_Toc160549717">
            <w:r w:rsidRPr="00F415CB">
              <w:rPr>
                <w:rStyle w:val="Hyperlink"/>
                <w:noProof/>
              </w:rPr>
              <w:t>Quelles sont les activités éligibles ?</w:t>
            </w:r>
            <w:r>
              <w:rPr>
                <w:noProof/>
                <w:webHidden/>
              </w:rPr>
              <w:tab/>
            </w:r>
            <w:r>
              <w:rPr>
                <w:noProof/>
                <w:webHidden/>
              </w:rPr>
              <w:fldChar w:fldCharType="begin"/>
            </w:r>
            <w:r>
              <w:rPr>
                <w:noProof/>
                <w:webHidden/>
              </w:rPr>
              <w:instrText xml:space="preserve"> PAGEREF _Toc160549717 \h </w:instrText>
            </w:r>
            <w:r>
              <w:rPr>
                <w:noProof/>
                <w:webHidden/>
              </w:rPr>
            </w:r>
            <w:r>
              <w:rPr>
                <w:noProof/>
                <w:webHidden/>
              </w:rPr>
              <w:fldChar w:fldCharType="separate"/>
            </w:r>
            <w:r>
              <w:rPr>
                <w:noProof/>
                <w:webHidden/>
              </w:rPr>
              <w:t>5</w:t>
            </w:r>
            <w:r>
              <w:rPr>
                <w:noProof/>
                <w:webHidden/>
              </w:rPr>
              <w:fldChar w:fldCharType="end"/>
            </w:r>
          </w:hyperlink>
        </w:p>
        <w:p w:rsidR="00C854A7" w:rsidRDefault="00C854A7" w14:paraId="458EBC1C" w14:textId="693F22D5">
          <w:pPr>
            <w:pStyle w:val="Inhopg2"/>
            <w:tabs>
              <w:tab w:val="right" w:leader="dot" w:pos="9062"/>
            </w:tabs>
            <w:rPr>
              <w:rFonts w:asciiTheme="minorHAnsi" w:hAnsiTheme="minorHAnsi" w:eastAsiaTheme="minorEastAsia" w:cstheme="minorBidi"/>
              <w:noProof/>
              <w:kern w:val="2"/>
              <w:lang w:val="nl-BE" w:eastAsia="nl-BE"/>
              <w14:ligatures w14:val="standardContextual"/>
            </w:rPr>
          </w:pPr>
          <w:hyperlink w:history="1" w:anchor="_Toc160549718">
            <w:r w:rsidRPr="00F415CB">
              <w:rPr>
                <w:rStyle w:val="Hyperlink"/>
                <w:noProof/>
              </w:rPr>
              <w:t>Subventions multiples</w:t>
            </w:r>
            <w:r>
              <w:rPr>
                <w:noProof/>
                <w:webHidden/>
              </w:rPr>
              <w:tab/>
            </w:r>
            <w:r>
              <w:rPr>
                <w:noProof/>
                <w:webHidden/>
              </w:rPr>
              <w:fldChar w:fldCharType="begin"/>
            </w:r>
            <w:r>
              <w:rPr>
                <w:noProof/>
                <w:webHidden/>
              </w:rPr>
              <w:instrText xml:space="preserve"> PAGEREF _Toc160549718 \h </w:instrText>
            </w:r>
            <w:r>
              <w:rPr>
                <w:noProof/>
                <w:webHidden/>
              </w:rPr>
            </w:r>
            <w:r>
              <w:rPr>
                <w:noProof/>
                <w:webHidden/>
              </w:rPr>
              <w:fldChar w:fldCharType="separate"/>
            </w:r>
            <w:r>
              <w:rPr>
                <w:noProof/>
                <w:webHidden/>
              </w:rPr>
              <w:t>7</w:t>
            </w:r>
            <w:r>
              <w:rPr>
                <w:noProof/>
                <w:webHidden/>
              </w:rPr>
              <w:fldChar w:fldCharType="end"/>
            </w:r>
          </w:hyperlink>
        </w:p>
        <w:p w:rsidR="00C854A7" w:rsidRDefault="00C854A7" w14:paraId="0FD35218" w14:textId="455DCE39">
          <w:pPr>
            <w:pStyle w:val="Inhopg1"/>
            <w:rPr>
              <w:rFonts w:asciiTheme="minorHAnsi" w:hAnsiTheme="minorHAnsi" w:eastAsiaTheme="minorEastAsia" w:cstheme="minorBidi"/>
              <w:noProof/>
              <w:kern w:val="2"/>
              <w:lang w:val="nl-BE" w:eastAsia="nl-BE"/>
              <w14:ligatures w14:val="standardContextual"/>
            </w:rPr>
          </w:pPr>
          <w:hyperlink w:history="1" w:anchor="_Toc160549719">
            <w:r w:rsidRPr="00F415CB">
              <w:rPr>
                <w:rStyle w:val="Hyperlink"/>
                <w:noProof/>
              </w:rPr>
              <w:t>4.</w:t>
            </w:r>
            <w:r>
              <w:rPr>
                <w:rFonts w:asciiTheme="minorHAnsi" w:hAnsiTheme="minorHAnsi" w:eastAsiaTheme="minorEastAsia" w:cstheme="minorBidi"/>
                <w:noProof/>
                <w:kern w:val="2"/>
                <w:lang w:val="nl-BE" w:eastAsia="nl-BE"/>
                <w14:ligatures w14:val="standardContextual"/>
              </w:rPr>
              <w:tab/>
            </w:r>
            <w:r w:rsidRPr="00F415CB">
              <w:rPr>
                <w:rStyle w:val="Hyperlink"/>
                <w:noProof/>
              </w:rPr>
              <w:t>Calendrier</w:t>
            </w:r>
            <w:r>
              <w:rPr>
                <w:noProof/>
                <w:webHidden/>
              </w:rPr>
              <w:tab/>
            </w:r>
            <w:r>
              <w:rPr>
                <w:noProof/>
                <w:webHidden/>
              </w:rPr>
              <w:fldChar w:fldCharType="begin"/>
            </w:r>
            <w:r>
              <w:rPr>
                <w:noProof/>
                <w:webHidden/>
              </w:rPr>
              <w:instrText xml:space="preserve"> PAGEREF _Toc160549719 \h </w:instrText>
            </w:r>
            <w:r>
              <w:rPr>
                <w:noProof/>
                <w:webHidden/>
              </w:rPr>
            </w:r>
            <w:r>
              <w:rPr>
                <w:noProof/>
                <w:webHidden/>
              </w:rPr>
              <w:fldChar w:fldCharType="separate"/>
            </w:r>
            <w:r>
              <w:rPr>
                <w:noProof/>
                <w:webHidden/>
              </w:rPr>
              <w:t>7</w:t>
            </w:r>
            <w:r>
              <w:rPr>
                <w:noProof/>
                <w:webHidden/>
              </w:rPr>
              <w:fldChar w:fldCharType="end"/>
            </w:r>
          </w:hyperlink>
        </w:p>
        <w:p w:rsidR="00C854A7" w:rsidRDefault="00C854A7" w14:paraId="390126FB" w14:textId="4AA4FB9D">
          <w:pPr>
            <w:pStyle w:val="Inhopg1"/>
            <w:rPr>
              <w:rFonts w:asciiTheme="minorHAnsi" w:hAnsiTheme="minorHAnsi" w:eastAsiaTheme="minorEastAsia" w:cstheme="minorBidi"/>
              <w:noProof/>
              <w:kern w:val="2"/>
              <w:lang w:val="nl-BE" w:eastAsia="nl-BE"/>
              <w14:ligatures w14:val="standardContextual"/>
            </w:rPr>
          </w:pPr>
          <w:hyperlink w:history="1" w:anchor="_Toc160549720">
            <w:r w:rsidRPr="00F415CB">
              <w:rPr>
                <w:rStyle w:val="Hyperlink"/>
                <w:noProof/>
              </w:rPr>
              <w:t>5.</w:t>
            </w:r>
            <w:r>
              <w:rPr>
                <w:rFonts w:asciiTheme="minorHAnsi" w:hAnsiTheme="minorHAnsi" w:eastAsiaTheme="minorEastAsia" w:cstheme="minorBidi"/>
                <w:noProof/>
                <w:kern w:val="2"/>
                <w:lang w:val="nl-BE" w:eastAsia="nl-BE"/>
                <w14:ligatures w14:val="standardContextual"/>
              </w:rPr>
              <w:tab/>
            </w:r>
            <w:r w:rsidRPr="00F415CB">
              <w:rPr>
                <w:rStyle w:val="Hyperlink"/>
                <w:noProof/>
              </w:rPr>
              <w:t>Formulaire de demande et annexes</w:t>
            </w:r>
            <w:r>
              <w:rPr>
                <w:noProof/>
                <w:webHidden/>
              </w:rPr>
              <w:tab/>
            </w:r>
            <w:r>
              <w:rPr>
                <w:noProof/>
                <w:webHidden/>
              </w:rPr>
              <w:fldChar w:fldCharType="begin"/>
            </w:r>
            <w:r>
              <w:rPr>
                <w:noProof/>
                <w:webHidden/>
              </w:rPr>
              <w:instrText xml:space="preserve"> PAGEREF _Toc160549720 \h </w:instrText>
            </w:r>
            <w:r>
              <w:rPr>
                <w:noProof/>
                <w:webHidden/>
              </w:rPr>
            </w:r>
            <w:r>
              <w:rPr>
                <w:noProof/>
                <w:webHidden/>
              </w:rPr>
              <w:fldChar w:fldCharType="separate"/>
            </w:r>
            <w:r>
              <w:rPr>
                <w:noProof/>
                <w:webHidden/>
              </w:rPr>
              <w:t>8</w:t>
            </w:r>
            <w:r>
              <w:rPr>
                <w:noProof/>
                <w:webHidden/>
              </w:rPr>
              <w:fldChar w:fldCharType="end"/>
            </w:r>
          </w:hyperlink>
        </w:p>
        <w:p w:rsidR="00C854A7" w:rsidRDefault="00C854A7" w14:paraId="7C4130DD" w14:textId="5A04A4DA">
          <w:pPr>
            <w:pStyle w:val="Inhopg1"/>
            <w:rPr>
              <w:rFonts w:asciiTheme="minorHAnsi" w:hAnsiTheme="minorHAnsi" w:eastAsiaTheme="minorEastAsia" w:cstheme="minorBidi"/>
              <w:noProof/>
              <w:kern w:val="2"/>
              <w:lang w:val="nl-BE" w:eastAsia="nl-BE"/>
              <w14:ligatures w14:val="standardContextual"/>
            </w:rPr>
          </w:pPr>
          <w:hyperlink w:history="1" w:anchor="_Toc160549721">
            <w:r w:rsidRPr="00F415CB">
              <w:rPr>
                <w:rStyle w:val="Hyperlink"/>
                <w:noProof/>
              </w:rPr>
              <w:t>6.</w:t>
            </w:r>
            <w:r>
              <w:rPr>
                <w:rFonts w:asciiTheme="minorHAnsi" w:hAnsiTheme="minorHAnsi" w:eastAsiaTheme="minorEastAsia" w:cstheme="minorBidi"/>
                <w:noProof/>
                <w:kern w:val="2"/>
                <w:lang w:val="nl-BE" w:eastAsia="nl-BE"/>
                <w14:ligatures w14:val="standardContextual"/>
              </w:rPr>
              <w:tab/>
            </w:r>
            <w:r w:rsidRPr="00F415CB">
              <w:rPr>
                <w:rStyle w:val="Hyperlink"/>
                <w:noProof/>
              </w:rPr>
              <w:t>Critères de sélection</w:t>
            </w:r>
            <w:r>
              <w:rPr>
                <w:noProof/>
                <w:webHidden/>
              </w:rPr>
              <w:tab/>
            </w:r>
            <w:r>
              <w:rPr>
                <w:noProof/>
                <w:webHidden/>
              </w:rPr>
              <w:fldChar w:fldCharType="begin"/>
            </w:r>
            <w:r>
              <w:rPr>
                <w:noProof/>
                <w:webHidden/>
              </w:rPr>
              <w:instrText xml:space="preserve"> PAGEREF _Toc160549721 \h </w:instrText>
            </w:r>
            <w:r>
              <w:rPr>
                <w:noProof/>
                <w:webHidden/>
              </w:rPr>
            </w:r>
            <w:r>
              <w:rPr>
                <w:noProof/>
                <w:webHidden/>
              </w:rPr>
              <w:fldChar w:fldCharType="separate"/>
            </w:r>
            <w:r>
              <w:rPr>
                <w:noProof/>
                <w:webHidden/>
              </w:rPr>
              <w:t>8</w:t>
            </w:r>
            <w:r>
              <w:rPr>
                <w:noProof/>
                <w:webHidden/>
              </w:rPr>
              <w:fldChar w:fldCharType="end"/>
            </w:r>
          </w:hyperlink>
        </w:p>
        <w:p w:rsidR="00C854A7" w:rsidRDefault="00C854A7" w14:paraId="6BFC8BA3" w14:textId="3CBEF271">
          <w:pPr>
            <w:pStyle w:val="Inhopg2"/>
            <w:tabs>
              <w:tab w:val="right" w:leader="dot" w:pos="9062"/>
            </w:tabs>
            <w:rPr>
              <w:rFonts w:asciiTheme="minorHAnsi" w:hAnsiTheme="minorHAnsi" w:eastAsiaTheme="minorEastAsia" w:cstheme="minorBidi"/>
              <w:noProof/>
              <w:kern w:val="2"/>
              <w:lang w:val="nl-BE" w:eastAsia="nl-BE"/>
              <w14:ligatures w14:val="standardContextual"/>
            </w:rPr>
          </w:pPr>
          <w:hyperlink w:history="1" w:anchor="_Toc160549722">
            <w:r w:rsidRPr="00F415CB">
              <w:rPr>
                <w:rStyle w:val="Hyperlink"/>
                <w:noProof/>
              </w:rPr>
              <w:t>Critère - Qualité de l'organisation (25 %)</w:t>
            </w:r>
            <w:r>
              <w:rPr>
                <w:noProof/>
                <w:webHidden/>
              </w:rPr>
              <w:tab/>
            </w:r>
            <w:r>
              <w:rPr>
                <w:noProof/>
                <w:webHidden/>
              </w:rPr>
              <w:fldChar w:fldCharType="begin"/>
            </w:r>
            <w:r>
              <w:rPr>
                <w:noProof/>
                <w:webHidden/>
              </w:rPr>
              <w:instrText xml:space="preserve"> PAGEREF _Toc160549722 \h </w:instrText>
            </w:r>
            <w:r>
              <w:rPr>
                <w:noProof/>
                <w:webHidden/>
              </w:rPr>
            </w:r>
            <w:r>
              <w:rPr>
                <w:noProof/>
                <w:webHidden/>
              </w:rPr>
              <w:fldChar w:fldCharType="separate"/>
            </w:r>
            <w:r>
              <w:rPr>
                <w:noProof/>
                <w:webHidden/>
              </w:rPr>
              <w:t>9</w:t>
            </w:r>
            <w:r>
              <w:rPr>
                <w:noProof/>
                <w:webHidden/>
              </w:rPr>
              <w:fldChar w:fldCharType="end"/>
            </w:r>
          </w:hyperlink>
        </w:p>
        <w:p w:rsidR="00C854A7" w:rsidRDefault="00C854A7" w14:paraId="5285E812" w14:textId="5CB062C4">
          <w:pPr>
            <w:pStyle w:val="Inhopg2"/>
            <w:tabs>
              <w:tab w:val="right" w:leader="dot" w:pos="9062"/>
            </w:tabs>
            <w:rPr>
              <w:rFonts w:asciiTheme="minorHAnsi" w:hAnsiTheme="minorHAnsi" w:eastAsiaTheme="minorEastAsia" w:cstheme="minorBidi"/>
              <w:noProof/>
              <w:kern w:val="2"/>
              <w:lang w:val="nl-BE" w:eastAsia="nl-BE"/>
              <w14:ligatures w14:val="standardContextual"/>
            </w:rPr>
          </w:pPr>
          <w:hyperlink w:history="1" w:anchor="_Toc160549723">
            <w:r w:rsidRPr="00F415CB">
              <w:rPr>
                <w:rStyle w:val="Hyperlink"/>
                <w:noProof/>
              </w:rPr>
              <w:t>Critère - Qualité du programme (25 %)</w:t>
            </w:r>
            <w:r>
              <w:rPr>
                <w:noProof/>
                <w:webHidden/>
              </w:rPr>
              <w:tab/>
            </w:r>
            <w:r>
              <w:rPr>
                <w:noProof/>
                <w:webHidden/>
              </w:rPr>
              <w:fldChar w:fldCharType="begin"/>
            </w:r>
            <w:r>
              <w:rPr>
                <w:noProof/>
                <w:webHidden/>
              </w:rPr>
              <w:instrText xml:space="preserve"> PAGEREF _Toc160549723 \h </w:instrText>
            </w:r>
            <w:r>
              <w:rPr>
                <w:noProof/>
                <w:webHidden/>
              </w:rPr>
            </w:r>
            <w:r>
              <w:rPr>
                <w:noProof/>
                <w:webHidden/>
              </w:rPr>
              <w:fldChar w:fldCharType="separate"/>
            </w:r>
            <w:r>
              <w:rPr>
                <w:noProof/>
                <w:webHidden/>
              </w:rPr>
              <w:t>9</w:t>
            </w:r>
            <w:r>
              <w:rPr>
                <w:noProof/>
                <w:webHidden/>
              </w:rPr>
              <w:fldChar w:fldCharType="end"/>
            </w:r>
          </w:hyperlink>
        </w:p>
        <w:p w:rsidR="00C854A7" w:rsidRDefault="00C854A7" w14:paraId="7624DE1E" w14:textId="5C46A2ED">
          <w:pPr>
            <w:pStyle w:val="Inhopg2"/>
            <w:tabs>
              <w:tab w:val="right" w:leader="dot" w:pos="9062"/>
            </w:tabs>
            <w:rPr>
              <w:rFonts w:asciiTheme="minorHAnsi" w:hAnsiTheme="minorHAnsi" w:eastAsiaTheme="minorEastAsia" w:cstheme="minorBidi"/>
              <w:noProof/>
              <w:kern w:val="2"/>
              <w:lang w:val="nl-BE" w:eastAsia="nl-BE"/>
              <w14:ligatures w14:val="standardContextual"/>
            </w:rPr>
          </w:pPr>
          <w:hyperlink w:history="1" w:anchor="_Toc160549724">
            <w:r w:rsidRPr="00F415CB">
              <w:rPr>
                <w:rStyle w:val="Hyperlink"/>
                <w:noProof/>
              </w:rPr>
              <w:t>Critère – Portée (25 %)</w:t>
            </w:r>
            <w:r>
              <w:rPr>
                <w:noProof/>
                <w:webHidden/>
              </w:rPr>
              <w:tab/>
            </w:r>
            <w:r>
              <w:rPr>
                <w:noProof/>
                <w:webHidden/>
              </w:rPr>
              <w:fldChar w:fldCharType="begin"/>
            </w:r>
            <w:r>
              <w:rPr>
                <w:noProof/>
                <w:webHidden/>
              </w:rPr>
              <w:instrText xml:space="preserve"> PAGEREF _Toc160549724 \h </w:instrText>
            </w:r>
            <w:r>
              <w:rPr>
                <w:noProof/>
                <w:webHidden/>
              </w:rPr>
            </w:r>
            <w:r>
              <w:rPr>
                <w:noProof/>
                <w:webHidden/>
              </w:rPr>
              <w:fldChar w:fldCharType="separate"/>
            </w:r>
            <w:r>
              <w:rPr>
                <w:noProof/>
                <w:webHidden/>
              </w:rPr>
              <w:t>10</w:t>
            </w:r>
            <w:r>
              <w:rPr>
                <w:noProof/>
                <w:webHidden/>
              </w:rPr>
              <w:fldChar w:fldCharType="end"/>
            </w:r>
          </w:hyperlink>
        </w:p>
        <w:p w:rsidR="00C854A7" w:rsidRDefault="00C854A7" w14:paraId="7F6A0E18" w14:textId="23B44C4F">
          <w:pPr>
            <w:pStyle w:val="Inhopg2"/>
            <w:tabs>
              <w:tab w:val="right" w:leader="dot" w:pos="9062"/>
            </w:tabs>
            <w:rPr>
              <w:rFonts w:asciiTheme="minorHAnsi" w:hAnsiTheme="minorHAnsi" w:eastAsiaTheme="minorEastAsia" w:cstheme="minorBidi"/>
              <w:noProof/>
              <w:kern w:val="2"/>
              <w:lang w:val="nl-BE" w:eastAsia="nl-BE"/>
              <w14:ligatures w14:val="standardContextual"/>
            </w:rPr>
          </w:pPr>
          <w:hyperlink w:history="1" w:anchor="_Toc160549725">
            <w:r w:rsidRPr="00F415CB">
              <w:rPr>
                <w:rStyle w:val="Hyperlink"/>
                <w:noProof/>
              </w:rPr>
              <w:t>Critère - Impact à Bruxelles (25 %) *</w:t>
            </w:r>
            <w:r>
              <w:rPr>
                <w:noProof/>
                <w:webHidden/>
              </w:rPr>
              <w:tab/>
            </w:r>
            <w:r>
              <w:rPr>
                <w:noProof/>
                <w:webHidden/>
              </w:rPr>
              <w:fldChar w:fldCharType="begin"/>
            </w:r>
            <w:r>
              <w:rPr>
                <w:noProof/>
                <w:webHidden/>
              </w:rPr>
              <w:instrText xml:space="preserve"> PAGEREF _Toc160549725 \h </w:instrText>
            </w:r>
            <w:r>
              <w:rPr>
                <w:noProof/>
                <w:webHidden/>
              </w:rPr>
            </w:r>
            <w:r>
              <w:rPr>
                <w:noProof/>
                <w:webHidden/>
              </w:rPr>
              <w:fldChar w:fldCharType="separate"/>
            </w:r>
            <w:r>
              <w:rPr>
                <w:noProof/>
                <w:webHidden/>
              </w:rPr>
              <w:t>10</w:t>
            </w:r>
            <w:r>
              <w:rPr>
                <w:noProof/>
                <w:webHidden/>
              </w:rPr>
              <w:fldChar w:fldCharType="end"/>
            </w:r>
          </w:hyperlink>
        </w:p>
        <w:p w:rsidR="00C854A7" w:rsidRDefault="00C854A7" w14:paraId="22ABAFD3" w14:textId="5C004618">
          <w:pPr>
            <w:pStyle w:val="Inhopg1"/>
            <w:rPr>
              <w:rFonts w:asciiTheme="minorHAnsi" w:hAnsiTheme="minorHAnsi" w:eastAsiaTheme="minorEastAsia" w:cstheme="minorBidi"/>
              <w:noProof/>
              <w:kern w:val="2"/>
              <w:lang w:val="nl-BE" w:eastAsia="nl-BE"/>
              <w14:ligatures w14:val="standardContextual"/>
            </w:rPr>
          </w:pPr>
          <w:hyperlink w:history="1" w:anchor="_Toc160549726">
            <w:r w:rsidRPr="00F415CB">
              <w:rPr>
                <w:rStyle w:val="Hyperlink"/>
                <w:noProof/>
              </w:rPr>
              <w:t>7.</w:t>
            </w:r>
            <w:r>
              <w:rPr>
                <w:rFonts w:asciiTheme="minorHAnsi" w:hAnsiTheme="minorHAnsi" w:eastAsiaTheme="minorEastAsia" w:cstheme="minorBidi"/>
                <w:noProof/>
                <w:kern w:val="2"/>
                <w:lang w:val="nl-BE" w:eastAsia="nl-BE"/>
                <w14:ligatures w14:val="standardContextual"/>
              </w:rPr>
              <w:tab/>
            </w:r>
            <w:r w:rsidRPr="00F415CB">
              <w:rPr>
                <w:rStyle w:val="Hyperlink"/>
                <w:noProof/>
              </w:rPr>
              <w:t>Montant et taux de financement</w:t>
            </w:r>
            <w:r>
              <w:rPr>
                <w:noProof/>
                <w:webHidden/>
              </w:rPr>
              <w:tab/>
            </w:r>
            <w:r>
              <w:rPr>
                <w:noProof/>
                <w:webHidden/>
              </w:rPr>
              <w:fldChar w:fldCharType="begin"/>
            </w:r>
            <w:r>
              <w:rPr>
                <w:noProof/>
                <w:webHidden/>
              </w:rPr>
              <w:instrText xml:space="preserve"> PAGEREF _Toc160549726 \h </w:instrText>
            </w:r>
            <w:r>
              <w:rPr>
                <w:noProof/>
                <w:webHidden/>
              </w:rPr>
            </w:r>
            <w:r>
              <w:rPr>
                <w:noProof/>
                <w:webHidden/>
              </w:rPr>
              <w:fldChar w:fldCharType="separate"/>
            </w:r>
            <w:r>
              <w:rPr>
                <w:noProof/>
                <w:webHidden/>
              </w:rPr>
              <w:t>11</w:t>
            </w:r>
            <w:r>
              <w:rPr>
                <w:noProof/>
                <w:webHidden/>
              </w:rPr>
              <w:fldChar w:fldCharType="end"/>
            </w:r>
          </w:hyperlink>
        </w:p>
        <w:p w:rsidR="00C854A7" w:rsidRDefault="00C854A7" w14:paraId="2F84E3EE" w14:textId="0AF70761">
          <w:pPr>
            <w:pStyle w:val="Inhopg1"/>
            <w:rPr>
              <w:rFonts w:asciiTheme="minorHAnsi" w:hAnsiTheme="minorHAnsi" w:eastAsiaTheme="minorEastAsia" w:cstheme="minorBidi"/>
              <w:noProof/>
              <w:kern w:val="2"/>
              <w:lang w:val="nl-BE" w:eastAsia="nl-BE"/>
              <w14:ligatures w14:val="standardContextual"/>
            </w:rPr>
          </w:pPr>
          <w:hyperlink w:history="1" w:anchor="_Toc160549727">
            <w:r w:rsidRPr="00F415CB">
              <w:rPr>
                <w:rStyle w:val="Hyperlink"/>
                <w:noProof/>
              </w:rPr>
              <w:t>8.</w:t>
            </w:r>
            <w:r>
              <w:rPr>
                <w:rFonts w:asciiTheme="minorHAnsi" w:hAnsiTheme="minorHAnsi" w:eastAsiaTheme="minorEastAsia" w:cstheme="minorBidi"/>
                <w:noProof/>
                <w:kern w:val="2"/>
                <w:lang w:val="nl-BE" w:eastAsia="nl-BE"/>
                <w14:ligatures w14:val="standardContextual"/>
              </w:rPr>
              <w:tab/>
            </w:r>
            <w:r w:rsidRPr="00F415CB">
              <w:rPr>
                <w:rStyle w:val="Hyperlink"/>
                <w:noProof/>
              </w:rPr>
              <w:t>Conventions et arrêtés</w:t>
            </w:r>
            <w:r>
              <w:rPr>
                <w:noProof/>
                <w:webHidden/>
              </w:rPr>
              <w:tab/>
            </w:r>
            <w:r>
              <w:rPr>
                <w:noProof/>
                <w:webHidden/>
              </w:rPr>
              <w:fldChar w:fldCharType="begin"/>
            </w:r>
            <w:r>
              <w:rPr>
                <w:noProof/>
                <w:webHidden/>
              </w:rPr>
              <w:instrText xml:space="preserve"> PAGEREF _Toc160549727 \h </w:instrText>
            </w:r>
            <w:r>
              <w:rPr>
                <w:noProof/>
                <w:webHidden/>
              </w:rPr>
            </w:r>
            <w:r>
              <w:rPr>
                <w:noProof/>
                <w:webHidden/>
              </w:rPr>
              <w:fldChar w:fldCharType="separate"/>
            </w:r>
            <w:r>
              <w:rPr>
                <w:noProof/>
                <w:webHidden/>
              </w:rPr>
              <w:t>12</w:t>
            </w:r>
            <w:r>
              <w:rPr>
                <w:noProof/>
                <w:webHidden/>
              </w:rPr>
              <w:fldChar w:fldCharType="end"/>
            </w:r>
          </w:hyperlink>
        </w:p>
        <w:p w:rsidR="00C854A7" w:rsidRDefault="00C854A7" w14:paraId="1828F6BB" w14:textId="7AB5859D">
          <w:pPr>
            <w:pStyle w:val="Inhopg1"/>
            <w:rPr>
              <w:rFonts w:asciiTheme="minorHAnsi" w:hAnsiTheme="minorHAnsi" w:eastAsiaTheme="minorEastAsia" w:cstheme="minorBidi"/>
              <w:noProof/>
              <w:kern w:val="2"/>
              <w:lang w:val="nl-BE" w:eastAsia="nl-BE"/>
              <w14:ligatures w14:val="standardContextual"/>
            </w:rPr>
          </w:pPr>
          <w:hyperlink w:history="1" w:anchor="_Toc160549728">
            <w:r w:rsidRPr="00F415CB">
              <w:rPr>
                <w:rStyle w:val="Hyperlink"/>
                <w:noProof/>
              </w:rPr>
              <w:t>9.</w:t>
            </w:r>
            <w:r>
              <w:rPr>
                <w:rFonts w:asciiTheme="minorHAnsi" w:hAnsiTheme="minorHAnsi" w:eastAsiaTheme="minorEastAsia" w:cstheme="minorBidi"/>
                <w:noProof/>
                <w:kern w:val="2"/>
                <w:lang w:val="nl-BE" w:eastAsia="nl-BE"/>
                <w14:ligatures w14:val="standardContextual"/>
              </w:rPr>
              <w:tab/>
            </w:r>
            <w:r w:rsidRPr="00F415CB">
              <w:rPr>
                <w:rStyle w:val="Hyperlink"/>
                <w:noProof/>
              </w:rPr>
              <w:t>Suivi des projets</w:t>
            </w:r>
            <w:r>
              <w:rPr>
                <w:noProof/>
                <w:webHidden/>
              </w:rPr>
              <w:tab/>
            </w:r>
            <w:r>
              <w:rPr>
                <w:noProof/>
                <w:webHidden/>
              </w:rPr>
              <w:fldChar w:fldCharType="begin"/>
            </w:r>
            <w:r>
              <w:rPr>
                <w:noProof/>
                <w:webHidden/>
              </w:rPr>
              <w:instrText xml:space="preserve"> PAGEREF _Toc160549728 \h </w:instrText>
            </w:r>
            <w:r>
              <w:rPr>
                <w:noProof/>
                <w:webHidden/>
              </w:rPr>
            </w:r>
            <w:r>
              <w:rPr>
                <w:noProof/>
                <w:webHidden/>
              </w:rPr>
              <w:fldChar w:fldCharType="separate"/>
            </w:r>
            <w:r>
              <w:rPr>
                <w:noProof/>
                <w:webHidden/>
              </w:rPr>
              <w:t>12</w:t>
            </w:r>
            <w:r>
              <w:rPr>
                <w:noProof/>
                <w:webHidden/>
              </w:rPr>
              <w:fldChar w:fldCharType="end"/>
            </w:r>
          </w:hyperlink>
        </w:p>
        <w:p w:rsidR="00C854A7" w:rsidRDefault="00C854A7" w14:paraId="768E3288" w14:textId="256A13D1">
          <w:pPr>
            <w:pStyle w:val="Inhopg1"/>
            <w:rPr>
              <w:rFonts w:asciiTheme="minorHAnsi" w:hAnsiTheme="minorHAnsi" w:eastAsiaTheme="minorEastAsia" w:cstheme="minorBidi"/>
              <w:noProof/>
              <w:kern w:val="2"/>
              <w:lang w:val="nl-BE" w:eastAsia="nl-BE"/>
              <w14:ligatures w14:val="standardContextual"/>
            </w:rPr>
          </w:pPr>
          <w:hyperlink w:history="1" w:anchor="_Toc160549729">
            <w:r w:rsidRPr="00F415CB">
              <w:rPr>
                <w:rStyle w:val="Hyperlink"/>
                <w:noProof/>
              </w:rPr>
              <w:t>10.</w:t>
            </w:r>
            <w:r>
              <w:rPr>
                <w:rFonts w:asciiTheme="minorHAnsi" w:hAnsiTheme="minorHAnsi" w:eastAsiaTheme="minorEastAsia" w:cstheme="minorBidi"/>
                <w:noProof/>
                <w:kern w:val="2"/>
                <w:lang w:val="nl-BE" w:eastAsia="nl-BE"/>
                <w14:ligatures w14:val="standardContextual"/>
              </w:rPr>
              <w:tab/>
            </w:r>
            <w:r w:rsidRPr="00F415CB">
              <w:rPr>
                <w:rStyle w:val="Hyperlink"/>
                <w:noProof/>
              </w:rPr>
              <w:t>Traitement de données à caractère personnel</w:t>
            </w:r>
            <w:r>
              <w:rPr>
                <w:noProof/>
                <w:webHidden/>
              </w:rPr>
              <w:tab/>
            </w:r>
            <w:r>
              <w:rPr>
                <w:noProof/>
                <w:webHidden/>
              </w:rPr>
              <w:fldChar w:fldCharType="begin"/>
            </w:r>
            <w:r>
              <w:rPr>
                <w:noProof/>
                <w:webHidden/>
              </w:rPr>
              <w:instrText xml:space="preserve"> PAGEREF _Toc160549729 \h </w:instrText>
            </w:r>
            <w:r>
              <w:rPr>
                <w:noProof/>
                <w:webHidden/>
              </w:rPr>
            </w:r>
            <w:r>
              <w:rPr>
                <w:noProof/>
                <w:webHidden/>
              </w:rPr>
              <w:fldChar w:fldCharType="separate"/>
            </w:r>
            <w:r>
              <w:rPr>
                <w:noProof/>
                <w:webHidden/>
              </w:rPr>
              <w:t>13</w:t>
            </w:r>
            <w:r>
              <w:rPr>
                <w:noProof/>
                <w:webHidden/>
              </w:rPr>
              <w:fldChar w:fldCharType="end"/>
            </w:r>
          </w:hyperlink>
        </w:p>
        <w:p w:rsidR="00C854A7" w:rsidRDefault="00C854A7" w14:paraId="48357A00" w14:textId="1FAB7A9A">
          <w:pPr>
            <w:pStyle w:val="Inhopg1"/>
            <w:rPr>
              <w:rFonts w:asciiTheme="minorHAnsi" w:hAnsiTheme="minorHAnsi" w:eastAsiaTheme="minorEastAsia" w:cstheme="minorBidi"/>
              <w:noProof/>
              <w:kern w:val="2"/>
              <w:lang w:val="nl-BE" w:eastAsia="nl-BE"/>
              <w14:ligatures w14:val="standardContextual"/>
            </w:rPr>
          </w:pPr>
          <w:hyperlink w:history="1" w:anchor="_Toc160549730">
            <w:r w:rsidRPr="00F415CB">
              <w:rPr>
                <w:rStyle w:val="Hyperlink"/>
                <w:noProof/>
              </w:rPr>
              <w:t>11.</w:t>
            </w:r>
            <w:r>
              <w:rPr>
                <w:rFonts w:asciiTheme="minorHAnsi" w:hAnsiTheme="minorHAnsi" w:eastAsiaTheme="minorEastAsia" w:cstheme="minorBidi"/>
                <w:noProof/>
                <w:kern w:val="2"/>
                <w:lang w:val="nl-BE" w:eastAsia="nl-BE"/>
                <w14:ligatures w14:val="standardContextual"/>
              </w:rPr>
              <w:tab/>
            </w:r>
            <w:r w:rsidRPr="00F415CB">
              <w:rPr>
                <w:rStyle w:val="Hyperlink"/>
                <w:noProof/>
              </w:rPr>
              <w:t>Acceptation du règlement</w:t>
            </w:r>
            <w:r>
              <w:rPr>
                <w:noProof/>
                <w:webHidden/>
              </w:rPr>
              <w:tab/>
            </w:r>
            <w:r>
              <w:rPr>
                <w:noProof/>
                <w:webHidden/>
              </w:rPr>
              <w:fldChar w:fldCharType="begin"/>
            </w:r>
            <w:r>
              <w:rPr>
                <w:noProof/>
                <w:webHidden/>
              </w:rPr>
              <w:instrText xml:space="preserve"> PAGEREF _Toc160549730 \h </w:instrText>
            </w:r>
            <w:r>
              <w:rPr>
                <w:noProof/>
                <w:webHidden/>
              </w:rPr>
            </w:r>
            <w:r>
              <w:rPr>
                <w:noProof/>
                <w:webHidden/>
              </w:rPr>
              <w:fldChar w:fldCharType="separate"/>
            </w:r>
            <w:r>
              <w:rPr>
                <w:noProof/>
                <w:webHidden/>
              </w:rPr>
              <w:t>14</w:t>
            </w:r>
            <w:r>
              <w:rPr>
                <w:noProof/>
                <w:webHidden/>
              </w:rPr>
              <w:fldChar w:fldCharType="end"/>
            </w:r>
          </w:hyperlink>
        </w:p>
        <w:p w:rsidR="00DF5956" w:rsidRDefault="00DF5956" w14:paraId="7EB9D2FF" w14:textId="46962FBC">
          <w:r>
            <w:rPr>
              <w:b/>
              <w:bCs/>
            </w:rPr>
            <w:fldChar w:fldCharType="end"/>
          </w:r>
        </w:p>
      </w:sdtContent>
    </w:sdt>
    <w:p w:rsidRPr="004F5A71" w:rsidR="00DF5956" w:rsidP="00575DFF" w:rsidRDefault="00DF5956" w14:paraId="45F669CA" w14:textId="77777777">
      <w:pPr>
        <w:rPr>
          <w:bCs/>
        </w:rPr>
      </w:pPr>
    </w:p>
    <w:p w:rsidR="00C660BE" w:rsidRDefault="00C660BE" w14:paraId="1D090BEF" w14:textId="77777777">
      <w:pPr>
        <w:pBdr>
          <w:top w:val="none" w:color="auto" w:sz="0" w:space="0"/>
          <w:left w:val="none" w:color="auto" w:sz="0" w:space="0"/>
          <w:bottom w:val="none" w:color="auto" w:sz="0" w:space="0"/>
          <w:right w:val="none" w:color="auto" w:sz="0" w:space="0"/>
          <w:between w:val="none" w:color="auto" w:sz="0" w:space="0"/>
        </w:pBdr>
        <w:spacing w:after="160" w:line="259" w:lineRule="auto"/>
        <w:jc w:val="left"/>
        <w:rPr>
          <w:rFonts w:asciiTheme="majorHAnsi" w:hAnsiTheme="majorHAnsi" w:eastAsiaTheme="majorEastAsia" w:cstheme="majorBidi"/>
          <w:color w:val="2F5496" w:themeColor="accent1" w:themeShade="BF"/>
          <w:sz w:val="32"/>
          <w:szCs w:val="32"/>
        </w:rPr>
      </w:pPr>
      <w:r>
        <w:br w:type="page"/>
      </w:r>
    </w:p>
    <w:p w:rsidR="00C4309B" w:rsidP="00ED7A21" w:rsidRDefault="00C4309B" w14:paraId="2E01AB49" w14:textId="16E9A91A">
      <w:pPr>
        <w:pStyle w:val="Kop1"/>
        <w:numPr>
          <w:ilvl w:val="0"/>
          <w:numId w:val="14"/>
        </w:numPr>
        <w:spacing w:after="240"/>
      </w:pPr>
      <w:bookmarkStart w:name="_Toc160549713" w:id="0"/>
      <w:r>
        <w:t>Introduction</w:t>
      </w:r>
      <w:bookmarkEnd w:id="0"/>
    </w:p>
    <w:p w:rsidRPr="00A9142A" w:rsidR="00C4309B" w:rsidP="00C4309B" w:rsidRDefault="00C4309B" w14:paraId="1114EA69" w14:textId="41E12362">
      <w:r w:rsidR="00C4309B">
        <w:rPr/>
        <w:t>Innoviris est responsable de la coordination scientifique et administrative du programme de financement SP-PROGRAM. Ce document contient toutes les informations dont vous avez besoin pour introduire un projet dans le cadre de ce program</w:t>
      </w:r>
      <w:r w:rsidR="00C854A7">
        <w:rPr/>
        <w:t>m</w:t>
      </w:r>
      <w:r w:rsidR="00C4309B">
        <w:rPr/>
        <w:t xml:space="preserve">e. </w:t>
      </w:r>
      <w:r w:rsidRPr="5E351399" w:rsidR="00C4309B">
        <w:rPr>
          <w:b w:val="1"/>
          <w:bCs w:val="1"/>
        </w:rPr>
        <w:t xml:space="preserve">Les propositions de projet doivent être introduites au plus tard le </w:t>
      </w:r>
      <w:r w:rsidRPr="5E351399" w:rsidR="1F347A6B">
        <w:rPr>
          <w:b w:val="1"/>
          <w:bCs w:val="1"/>
        </w:rPr>
        <w:t>28</w:t>
      </w:r>
      <w:r w:rsidRPr="5E351399" w:rsidR="00724759">
        <w:rPr>
          <w:b w:val="1"/>
          <w:bCs w:val="1"/>
        </w:rPr>
        <w:t xml:space="preserve"> </w:t>
      </w:r>
      <w:r w:rsidRPr="5E351399" w:rsidR="00C4309B">
        <w:rPr>
          <w:b w:val="1"/>
          <w:bCs w:val="1"/>
        </w:rPr>
        <w:t>février 202</w:t>
      </w:r>
      <w:r w:rsidRPr="5E351399" w:rsidR="00724759">
        <w:rPr>
          <w:b w:val="1"/>
          <w:bCs w:val="1"/>
        </w:rPr>
        <w:t>6</w:t>
      </w:r>
      <w:r w:rsidRPr="5E351399" w:rsidR="00D3711E">
        <w:rPr>
          <w:b w:val="1"/>
          <w:bCs w:val="1"/>
        </w:rPr>
        <w:t xml:space="preserve"> (à minuit)</w:t>
      </w:r>
      <w:r w:rsidRPr="5E351399" w:rsidR="00C4309B">
        <w:rPr>
          <w:b w:val="1"/>
          <w:bCs w:val="1"/>
        </w:rPr>
        <w:t xml:space="preserve"> pour les activités prévues au cours de l'année scolaire suivante (à partir du 1</w:t>
      </w:r>
      <w:r w:rsidRPr="5E351399" w:rsidR="00C4309B">
        <w:rPr>
          <w:b w:val="1"/>
          <w:bCs w:val="1"/>
          <w:vertAlign w:val="superscript"/>
        </w:rPr>
        <w:t>er</w:t>
      </w:r>
      <w:r w:rsidRPr="5E351399" w:rsidR="00C4309B">
        <w:rPr>
          <w:b w:val="1"/>
          <w:bCs w:val="1"/>
        </w:rPr>
        <w:t xml:space="preserve"> septembre).</w:t>
      </w:r>
      <w:r w:rsidR="00C4309B">
        <w:rPr/>
        <w:t xml:space="preserve"> Pour être évaluées, les propositions doivent être conformes aux directives du présent règlement. Nous vous recommandons donc de lire attentivement ce règlement.</w:t>
      </w:r>
    </w:p>
    <w:p w:rsidRPr="00A77BED" w:rsidR="00D1527F" w:rsidP="00575DFF" w:rsidRDefault="00D1527F" w14:paraId="2BFAB17C" w14:textId="77777777"/>
    <w:p w:rsidRPr="001D050B" w:rsidR="00EC2C1B" w:rsidP="00ED7A21" w:rsidRDefault="00882378" w14:paraId="3880E5EF" w14:textId="71229179">
      <w:pPr>
        <w:pStyle w:val="Kop1"/>
        <w:numPr>
          <w:ilvl w:val="0"/>
          <w:numId w:val="14"/>
        </w:numPr>
        <w:spacing w:after="240"/>
      </w:pPr>
      <w:bookmarkStart w:name="_Toc160549714" w:id="1"/>
      <w:r>
        <w:t>SP-PROGRAM vs SP-EVENT</w:t>
      </w:r>
      <w:bookmarkEnd w:id="1"/>
    </w:p>
    <w:p w:rsidR="00B65905" w:rsidP="00B65905" w:rsidRDefault="00B65905" w14:paraId="63C20C86" w14:textId="77777777">
      <w:bookmarkStart w:name="_Hlk152706483" w:id="2"/>
      <w:r>
        <w:t xml:space="preserve">Une des missions importantes d'Innoviris, l'Institut bruxellois pour la science et l'innovation, est de sensibiliser les Bruxellois à la science, à la technologie et/ou à l'innovation en général, et aux STEM </w:t>
      </w:r>
      <w:r>
        <w:rPr>
          <w:i/>
        </w:rPr>
        <w:t xml:space="preserve">(sciences, technologies, ingénierie et mathématiques) </w:t>
      </w:r>
      <w:r>
        <w:t>en particulier. Cette mission s'articule autour de deux objectifs :</w:t>
      </w:r>
    </w:p>
    <w:p w:rsidR="00B65905" w:rsidP="00B65905" w:rsidRDefault="00D625E5" w14:paraId="2667644C" w14:textId="78A4BC49">
      <w:pPr>
        <w:pStyle w:val="Lijstalinea"/>
        <w:numPr>
          <w:ilvl w:val="0"/>
          <w:numId w:val="6"/>
        </w:numPr>
      </w:pPr>
      <w:r>
        <w:t>Attirer</w:t>
      </w:r>
      <w:r w:rsidR="00B65905">
        <w:t xml:space="preserve"> les jeunes </w:t>
      </w:r>
      <w:r w:rsidR="00C854A7">
        <w:t>B</w:t>
      </w:r>
      <w:r w:rsidR="00B65905">
        <w:t>ruxellois vers les filières et les professions STEM</w:t>
      </w:r>
      <w:r w:rsidR="00C854A7">
        <w:t xml:space="preserve"> ; </w:t>
      </w:r>
      <w:r w:rsidR="00B65905">
        <w:t>et</w:t>
      </w:r>
    </w:p>
    <w:p w:rsidR="00B65905" w:rsidP="00B65905" w:rsidRDefault="00D625E5" w14:paraId="677F7580" w14:textId="18FDE0A7">
      <w:pPr>
        <w:pStyle w:val="Lijstalinea"/>
        <w:numPr>
          <w:ilvl w:val="0"/>
          <w:numId w:val="6"/>
        </w:numPr>
      </w:pPr>
      <w:r>
        <w:t>Encourager</w:t>
      </w:r>
      <w:r w:rsidR="00B65905">
        <w:t xml:space="preserve"> une culture scientifique auprès du grand public</w:t>
      </w:r>
      <w:r w:rsidR="00C854A7">
        <w:t>.</w:t>
      </w:r>
    </w:p>
    <w:p w:rsidR="00B65905" w:rsidP="00B65905" w:rsidRDefault="00B65905" w14:paraId="1FCB8AB1" w14:textId="5B2542B6">
      <w:r>
        <w:t xml:space="preserve">Innoviris offre une aide financière aux organisations basées à Bruxelles qui mettent en place des initiatives ou des activités dans le cadre de l'un de ces deux objectifs. Le premier objectif couvre les initiatives ou les activités qui proposent des expériences pratiques d'apprentissage des STEM au groupe cible spécifique des enfants et des jeunes et/ou de leurs enseignants. Le second objectif couvre les initiatives ou activités qui stimulent le désir d'un groupe plus large de Bruxellois de continuer à développer leurs connaissances sur la science, de comprendre la méthode scientifique et de développer un esprit critique ainsi qu'un sens de l'émerveillement. </w:t>
      </w:r>
    </w:p>
    <w:p w:rsidR="003E6AFD" w:rsidP="00ED7A21" w:rsidRDefault="0003376D" w14:paraId="6F0083CD" w14:textId="5EB3284D">
      <w:r>
        <w:t xml:space="preserve">Outre cette distinction par objectif, Innoviris fait également une distinction par type d'activité. Tout d'abord, une aide financière peut être demandée pour l'organisation d'événements clairement délimités dans leur objectif et leur durée (SP-EVENT). Il s'agit notamment d'initiatives </w:t>
      </w:r>
      <w:r w:rsidRPr="005C1E46" w:rsidR="003E6AFD">
        <w:rPr>
          <w:i/>
          <w:iCs/>
        </w:rPr>
        <w:t>temporaires</w:t>
      </w:r>
      <w:r>
        <w:t xml:space="preserve"> de promotion de la science telles que des expositions, des concours, des festivals, des réunions (pas des conférences scientifiques) et des spectacles. Il s'agit ici d'événements uniques ou récurrents, qui peuvent ou non s'étendre sur plusieurs jours. Une aide financière peut également être demandée pour l'organisation d'une série d'activités avec un format similaire, proposées à un public cible de manière continue tout au long de l'année. Dans ce cas, il s'agit d'un programme ou d'un calendrier annuel de formations, par exemple, de conférences, d'ateliers, d'activités extrascolaires ou de camps qui ont un caractère récurrent. </w:t>
      </w:r>
      <w:r w:rsidR="003E6AFD">
        <w:br w:type="page"/>
      </w:r>
    </w:p>
    <w:p w:rsidR="00B65905" w:rsidP="00B65905" w:rsidRDefault="00B65905" w14:paraId="7A8585F2" w14:textId="451FC620">
      <w:r>
        <w:t>En combinant l'objectif et le type d'activité, nous obtenons le tableau suivant :</w:t>
      </w:r>
    </w:p>
    <w:tbl>
      <w:tblPr>
        <w:tblW w:w="9026" w:type="dxa"/>
        <w:tblCellMar>
          <w:left w:w="10" w:type="dxa"/>
          <w:right w:w="10" w:type="dxa"/>
        </w:tblCellMar>
        <w:tblLook w:val="0000" w:firstRow="0" w:lastRow="0" w:firstColumn="0" w:lastColumn="0" w:noHBand="0" w:noVBand="0"/>
      </w:tblPr>
      <w:tblGrid>
        <w:gridCol w:w="597"/>
        <w:gridCol w:w="797"/>
        <w:gridCol w:w="1702"/>
        <w:gridCol w:w="2977"/>
        <w:gridCol w:w="2953"/>
      </w:tblGrid>
      <w:tr w:rsidR="00300018" w:rsidTr="5E351399" w14:paraId="1E1D5265" w14:textId="77777777">
        <w:trPr>
          <w:trHeight w:val="232"/>
        </w:trPr>
        <w:tc>
          <w:tcPr>
            <w:tcW w:w="3096" w:type="dxa"/>
            <w:gridSpan w:val="3"/>
            <w:vMerge w:val="restart"/>
            <w:tcBorders>
              <w:top w:val="single" w:color="000000" w:themeColor="text1" w:sz="18" w:space="0"/>
              <w:left w:val="single" w:color="000000" w:themeColor="text1" w:sz="18" w:space="0"/>
              <w:right w:val="single" w:color="000000" w:themeColor="text1" w:sz="18" w:space="0"/>
            </w:tcBorders>
            <w:shd w:val="clear" w:color="auto" w:fill="D9E2F3" w:themeFill="accent1" w:themeFillTint="33"/>
            <w:tcMar/>
          </w:tcPr>
          <w:p w:rsidR="00300018" w:rsidP="00405BEC" w:rsidRDefault="00300018" w14:paraId="7AD50AF8" w14:textId="77777777"/>
        </w:tc>
        <w:tc>
          <w:tcPr>
            <w:tcW w:w="5930" w:type="dxa"/>
            <w:gridSpan w:val="2"/>
            <w:tcBorders>
              <w:top w:val="single" w:color="000000" w:themeColor="text1" w:sz="18" w:space="0"/>
              <w:left w:val="single" w:color="000000" w:themeColor="text1" w:sz="18" w:space="0"/>
              <w:right w:val="single" w:color="000000" w:themeColor="text1" w:sz="18" w:space="0"/>
            </w:tcBorders>
            <w:shd w:val="clear" w:color="auto" w:fill="D9E2F3" w:themeFill="accent1" w:themeFillTint="33"/>
            <w:tcMar>
              <w:top w:w="0" w:type="dxa"/>
              <w:left w:w="108" w:type="dxa"/>
              <w:bottom w:w="0" w:type="dxa"/>
              <w:right w:w="108" w:type="dxa"/>
            </w:tcMar>
          </w:tcPr>
          <w:p w:rsidR="00300018" w:rsidP="00405BEC" w:rsidRDefault="00300018" w14:paraId="5A12CBB2" w14:textId="77777777">
            <w:pPr>
              <w:jc w:val="center"/>
            </w:pPr>
            <w:r>
              <w:t>Type d'activité</w:t>
            </w:r>
          </w:p>
        </w:tc>
      </w:tr>
      <w:tr w:rsidRPr="0072582C" w:rsidR="005C1E46" w:rsidTr="5E351399" w14:paraId="7F1DBC8E" w14:textId="77777777">
        <w:trPr>
          <w:trHeight w:val="1346"/>
        </w:trPr>
        <w:tc>
          <w:tcPr>
            <w:tcW w:w="3096" w:type="dxa"/>
            <w:gridSpan w:val="3"/>
            <w:vMerge/>
            <w:tcBorders/>
            <w:tcMar/>
          </w:tcPr>
          <w:p w:rsidR="005C1E46" w:rsidP="00405BEC" w:rsidRDefault="005C1E46" w14:paraId="65EEA14A" w14:textId="77777777"/>
        </w:tc>
        <w:tc>
          <w:tcPr>
            <w:tcW w:w="2977"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9E2F3" w:themeFill="accent1" w:themeFillTint="33"/>
            <w:tcMar>
              <w:top w:w="0" w:type="dxa"/>
              <w:left w:w="108" w:type="dxa"/>
              <w:bottom w:w="0" w:type="dxa"/>
              <w:right w:w="108" w:type="dxa"/>
            </w:tcMar>
          </w:tcPr>
          <w:p w:rsidRPr="006A4F6C" w:rsidR="005C1E46" w:rsidP="00D625E5" w:rsidRDefault="005C1E46" w14:paraId="02A6EE1D" w14:textId="2EB97A45">
            <w:pPr>
              <w:jc w:val="left"/>
            </w:pPr>
            <w:r>
              <w:t xml:space="preserve">Événements limités dans le temps et leur objectif (événements temporaires) </w:t>
            </w:r>
          </w:p>
          <w:p w:rsidRPr="006A4F6C" w:rsidR="005C1E46" w:rsidP="00405BEC" w:rsidRDefault="005C1E46" w14:paraId="57A541FF" w14:textId="13808016">
            <w:r>
              <w:rPr>
                <w:kern w:val="3"/>
                <w:sz w:val="16"/>
              </w:rPr>
              <w:t>Par exemple, expositions, concours, festivals, réunions, spectacles</w:t>
            </w:r>
          </w:p>
        </w:tc>
        <w:tc>
          <w:tcPr>
            <w:tcW w:w="295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9E2F3" w:themeFill="accent1" w:themeFillTint="33"/>
            <w:tcMar>
              <w:top w:w="0" w:type="dxa"/>
              <w:left w:w="108" w:type="dxa"/>
              <w:bottom w:w="0" w:type="dxa"/>
              <w:right w:w="108" w:type="dxa"/>
            </w:tcMar>
          </w:tcPr>
          <w:p w:rsidRPr="00300018" w:rsidR="005C1E46" w:rsidP="00D625E5" w:rsidRDefault="005C1E46" w14:paraId="7A7DF398" w14:textId="2F4B1151">
            <w:pPr>
              <w:jc w:val="left"/>
            </w:pPr>
            <w:r>
              <w:t xml:space="preserve">Programmes d'activités continus (séries récurrentes) </w:t>
            </w:r>
          </w:p>
          <w:p w:rsidRPr="003B2AD5" w:rsidR="005C1E46" w:rsidP="00405BEC" w:rsidRDefault="005C1E46" w14:paraId="60E2FD56" w14:textId="7CEF0459">
            <w:pPr>
              <w:rPr>
                <w:kern w:val="3"/>
                <w:sz w:val="16"/>
                <w:szCs w:val="16"/>
              </w:rPr>
            </w:pPr>
            <w:r>
              <w:rPr>
                <w:kern w:val="3"/>
                <w:sz w:val="16"/>
              </w:rPr>
              <w:t xml:space="preserve">Par exemple, </w:t>
            </w:r>
            <w:bookmarkStart w:name="_Hlk152677209" w:id="3"/>
            <w:r>
              <w:rPr>
                <w:kern w:val="3"/>
                <w:sz w:val="16"/>
              </w:rPr>
              <w:t>une série de formations, des conférences, des ateliers, des activités extrascolaires, des camps</w:t>
            </w:r>
            <w:bookmarkEnd w:id="3"/>
          </w:p>
        </w:tc>
      </w:tr>
      <w:tr w:rsidRPr="00603582" w:rsidR="00300018" w:rsidTr="5E351399" w14:paraId="7B252D5E" w14:textId="77777777">
        <w:trPr>
          <w:trHeight w:val="1191"/>
        </w:trPr>
        <w:tc>
          <w:tcPr>
            <w:tcW w:w="3096" w:type="dxa"/>
            <w:gridSpan w:val="3"/>
            <w:vMerge/>
            <w:tcBorders/>
            <w:tcMar/>
          </w:tcPr>
          <w:p w:rsidRPr="0072582C" w:rsidR="00300018" w:rsidP="00405BEC" w:rsidRDefault="00300018" w14:paraId="32D79E81" w14:textId="77777777"/>
        </w:tc>
        <w:tc>
          <w:tcPr>
            <w:tcW w:w="2977"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9E2F3" w:themeFill="accent1" w:themeFillTint="33"/>
            <w:tcMar>
              <w:top w:w="0" w:type="dxa"/>
              <w:left w:w="108" w:type="dxa"/>
              <w:bottom w:w="0" w:type="dxa"/>
              <w:right w:w="108" w:type="dxa"/>
            </w:tcMar>
          </w:tcPr>
          <w:p w:rsidRPr="001B1A87" w:rsidR="00300018" w:rsidP="00D625E5" w:rsidRDefault="00300018" w14:paraId="14E88BB7" w14:textId="0C8152FC">
            <w:pPr>
              <w:jc w:val="left"/>
            </w:pPr>
            <w:r>
              <w:t>Date limite d'introduction : 15 juillet</w:t>
            </w:r>
          </w:p>
          <w:p w:rsidRPr="001B1A87" w:rsidR="00300018" w:rsidP="00405BEC" w:rsidRDefault="00300018" w14:paraId="38449E95" w14:textId="77777777">
            <w:r>
              <w:rPr>
                <w:sz w:val="16"/>
              </w:rPr>
              <w:t>Pour l'année civile suivante</w:t>
            </w:r>
          </w:p>
        </w:tc>
        <w:tc>
          <w:tcPr>
            <w:tcW w:w="295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9E2F3" w:themeFill="accent1" w:themeFillTint="33"/>
            <w:tcMar>
              <w:top w:w="0" w:type="dxa"/>
              <w:left w:w="108" w:type="dxa"/>
              <w:bottom w:w="0" w:type="dxa"/>
              <w:right w:w="108" w:type="dxa"/>
            </w:tcMar>
          </w:tcPr>
          <w:p w:rsidRPr="00603582" w:rsidR="00300018" w:rsidP="00D625E5" w:rsidRDefault="00300018" w14:paraId="3B848F53" w14:textId="6F851A09">
            <w:pPr>
              <w:jc w:val="left"/>
            </w:pPr>
            <w:r w:rsidR="00300018">
              <w:rPr/>
              <w:t xml:space="preserve">Date limite d'introduction : </w:t>
            </w:r>
            <w:r w:rsidR="619FDAEE">
              <w:rPr/>
              <w:t xml:space="preserve">28 </w:t>
            </w:r>
            <w:r w:rsidR="00300018">
              <w:rPr/>
              <w:t>février</w:t>
            </w:r>
            <w:r w:rsidRPr="5E351399" w:rsidR="00300018">
              <w:rPr>
                <w:sz w:val="18"/>
                <w:szCs w:val="18"/>
              </w:rPr>
              <w:t xml:space="preserve"> </w:t>
            </w:r>
          </w:p>
          <w:p w:rsidRPr="00603582" w:rsidR="00300018" w:rsidP="00405BEC" w:rsidRDefault="00300018" w14:paraId="677B2AC8" w14:textId="77777777">
            <w:r>
              <w:rPr>
                <w:sz w:val="16"/>
              </w:rPr>
              <w:t>Pour l'année scolaire suivante</w:t>
            </w:r>
          </w:p>
        </w:tc>
      </w:tr>
      <w:tr w:rsidR="00D0134C" w:rsidTr="5E351399" w14:paraId="3972557C" w14:textId="77777777">
        <w:tc>
          <w:tcPr>
            <w:tcW w:w="597" w:type="dxa"/>
            <w:vMerge w:val="restart"/>
            <w:tcBorders>
              <w:top w:val="single" w:color="000000" w:themeColor="text1" w:sz="18" w:space="0"/>
              <w:left w:val="single" w:color="000000" w:themeColor="text1" w:sz="18" w:space="0"/>
              <w:right w:val="single" w:color="000000" w:themeColor="text1" w:sz="18" w:space="0"/>
            </w:tcBorders>
            <w:shd w:val="clear" w:color="auto" w:fill="D9E2F3" w:themeFill="accent1" w:themeFillTint="33"/>
            <w:tcMar/>
            <w:textDirection w:val="btLr"/>
          </w:tcPr>
          <w:p w:rsidR="00300018" w:rsidP="00405BEC" w:rsidRDefault="00300018" w14:paraId="5C4A72DF" w14:textId="77777777">
            <w:pPr>
              <w:ind w:left="113" w:right="113"/>
              <w:jc w:val="center"/>
            </w:pPr>
            <w:r>
              <w:t>Objectif</w:t>
            </w:r>
          </w:p>
        </w:tc>
        <w:tc>
          <w:tcPr>
            <w:tcW w:w="797" w:type="dxa"/>
            <w:vMerge w:val="restart"/>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9E2F3" w:themeFill="accent1" w:themeFillTint="33"/>
            <w:tcMar>
              <w:top w:w="0" w:type="dxa"/>
              <w:left w:w="108" w:type="dxa"/>
              <w:bottom w:w="0" w:type="dxa"/>
              <w:right w:w="108" w:type="dxa"/>
            </w:tcMar>
          </w:tcPr>
          <w:p w:rsidR="00300018" w:rsidP="00405BEC" w:rsidRDefault="00300018" w14:paraId="2F25BB71" w14:textId="77777777">
            <w:pPr>
              <w:jc w:val="center"/>
            </w:pPr>
            <w:r>
              <w:t>STEM</w:t>
            </w:r>
          </w:p>
        </w:tc>
        <w:tc>
          <w:tcPr>
            <w:tcW w:w="1702" w:type="dxa"/>
            <w:tcBorders>
              <w:top w:val="single" w:color="000000" w:themeColor="text1" w:sz="18" w:space="0"/>
              <w:left w:val="single" w:color="000000" w:themeColor="text1" w:sz="18" w:space="0"/>
              <w:bottom w:val="dashed" w:color="000000" w:themeColor="text1" w:sz="4" w:space="0"/>
              <w:right w:val="single" w:color="000000" w:themeColor="text1" w:sz="18" w:space="0"/>
            </w:tcBorders>
            <w:shd w:val="clear" w:color="auto" w:fill="D9E2F3" w:themeFill="accent1" w:themeFillTint="33"/>
            <w:tcMar>
              <w:top w:w="0" w:type="dxa"/>
              <w:left w:w="108" w:type="dxa"/>
              <w:bottom w:w="0" w:type="dxa"/>
              <w:right w:w="108" w:type="dxa"/>
            </w:tcMar>
          </w:tcPr>
          <w:p w:rsidR="00300018" w:rsidP="00405BEC" w:rsidRDefault="00300018" w14:paraId="55949D24" w14:textId="77777777">
            <w:r>
              <w:t xml:space="preserve">STEM jeunes </w:t>
            </w:r>
          </w:p>
        </w:tc>
        <w:tc>
          <w:tcPr>
            <w:tcW w:w="2977" w:type="dxa"/>
            <w:vMerge w:val="restart"/>
            <w:tcBorders>
              <w:top w:val="single" w:color="000000" w:themeColor="text1" w:sz="18" w:space="0"/>
              <w:left w:val="single" w:color="000000" w:themeColor="text1" w:sz="18" w:space="0"/>
              <w:right w:val="single" w:color="000000" w:themeColor="text1" w:sz="18" w:space="0"/>
            </w:tcBorders>
            <w:shd w:val="clear" w:color="auto" w:fill="auto"/>
            <w:tcMar>
              <w:top w:w="0" w:type="dxa"/>
              <w:left w:w="108" w:type="dxa"/>
              <w:bottom w:w="0" w:type="dxa"/>
              <w:right w:w="108" w:type="dxa"/>
            </w:tcMar>
            <w:vAlign w:val="center"/>
          </w:tcPr>
          <w:p w:rsidR="00300018" w:rsidP="00405BEC" w:rsidRDefault="00882378" w14:paraId="415D45AB" w14:textId="198EF92F">
            <w:pPr>
              <w:jc w:val="center"/>
            </w:pPr>
            <w:r>
              <w:t>SP-EVENT</w:t>
            </w:r>
          </w:p>
          <w:p w:rsidR="00300018" w:rsidP="00405BEC" w:rsidRDefault="00300018" w14:paraId="324697ED" w14:textId="18089656">
            <w:pPr>
              <w:jc w:val="center"/>
            </w:pPr>
            <w:r>
              <w:t>(catégorie 1)</w:t>
            </w:r>
          </w:p>
        </w:tc>
        <w:tc>
          <w:tcPr>
            <w:tcW w:w="2953" w:type="dxa"/>
            <w:vMerge w:val="restart"/>
            <w:tcBorders>
              <w:top w:val="single" w:color="000000" w:themeColor="text1" w:sz="18" w:space="0"/>
              <w:left w:val="single" w:color="000000" w:themeColor="text1" w:sz="18" w:space="0"/>
              <w:right w:val="single" w:color="000000" w:themeColor="text1" w:sz="18" w:space="0"/>
            </w:tcBorders>
            <w:shd w:val="clear" w:color="auto" w:fill="EDEDED" w:themeFill="accent3" w:themeFillTint="33"/>
            <w:tcMar>
              <w:top w:w="0" w:type="dxa"/>
              <w:left w:w="108" w:type="dxa"/>
              <w:bottom w:w="0" w:type="dxa"/>
              <w:right w:w="108" w:type="dxa"/>
            </w:tcMar>
            <w:vAlign w:val="center"/>
          </w:tcPr>
          <w:p w:rsidR="00300018" w:rsidP="00405BEC" w:rsidRDefault="00882378" w14:paraId="593F1AAA" w14:textId="37F14895">
            <w:pPr>
              <w:jc w:val="center"/>
            </w:pPr>
            <w:r>
              <w:t>SP-PROGRAM</w:t>
            </w:r>
          </w:p>
          <w:p w:rsidR="00300018" w:rsidP="00405BEC" w:rsidRDefault="00300018" w14:paraId="64EED51B" w14:textId="02A14BB1">
            <w:pPr>
              <w:jc w:val="center"/>
            </w:pPr>
            <w:r>
              <w:t>(catégorie 1)</w:t>
            </w:r>
          </w:p>
        </w:tc>
      </w:tr>
      <w:tr w:rsidR="00D0134C" w:rsidTr="5E351399" w14:paraId="52F9BD3E" w14:textId="77777777">
        <w:trPr>
          <w:trHeight w:val="1098"/>
        </w:trPr>
        <w:tc>
          <w:tcPr>
            <w:tcW w:w="597" w:type="dxa"/>
            <w:vMerge/>
            <w:tcBorders/>
            <w:tcMar/>
          </w:tcPr>
          <w:p w:rsidR="00300018" w:rsidP="00405BEC" w:rsidRDefault="00300018" w14:paraId="7246465E" w14:textId="77777777">
            <w:pPr>
              <w:jc w:val="center"/>
            </w:pPr>
          </w:p>
        </w:tc>
        <w:tc>
          <w:tcPr>
            <w:tcW w:w="797" w:type="dxa"/>
            <w:vMerge/>
            <w:tcBorders/>
            <w:tcMar>
              <w:top w:w="0" w:type="dxa"/>
              <w:left w:w="108" w:type="dxa"/>
              <w:bottom w:w="0" w:type="dxa"/>
              <w:right w:w="108" w:type="dxa"/>
            </w:tcMar>
          </w:tcPr>
          <w:p w:rsidR="00300018" w:rsidP="00405BEC" w:rsidRDefault="00300018" w14:paraId="0D067991" w14:textId="77777777">
            <w:pPr>
              <w:jc w:val="center"/>
            </w:pPr>
          </w:p>
        </w:tc>
        <w:tc>
          <w:tcPr>
            <w:tcW w:w="1702" w:type="dxa"/>
            <w:tcBorders>
              <w:top w:val="dashed" w:color="000000" w:themeColor="text1" w:sz="4" w:space="0"/>
              <w:left w:val="single" w:color="000000" w:themeColor="text1" w:sz="18" w:space="0"/>
              <w:bottom w:val="single" w:color="000000" w:themeColor="text1" w:sz="18" w:space="0"/>
              <w:right w:val="single" w:color="000000" w:themeColor="text1" w:sz="18" w:space="0"/>
            </w:tcBorders>
            <w:shd w:val="clear" w:color="auto" w:fill="D9E2F3" w:themeFill="accent1" w:themeFillTint="33"/>
            <w:tcMar>
              <w:top w:w="0" w:type="dxa"/>
              <w:left w:w="108" w:type="dxa"/>
              <w:bottom w:w="0" w:type="dxa"/>
              <w:right w:w="108" w:type="dxa"/>
            </w:tcMar>
          </w:tcPr>
          <w:p w:rsidR="00300018" w:rsidP="00405BEC" w:rsidRDefault="00300018" w14:paraId="4C725511" w14:textId="77777777">
            <w:r>
              <w:t>STEM (futurs) enseignants</w:t>
            </w:r>
          </w:p>
        </w:tc>
        <w:tc>
          <w:tcPr>
            <w:tcW w:w="2977" w:type="dxa"/>
            <w:vMerge/>
            <w:tcBorders/>
            <w:tcMar>
              <w:top w:w="0" w:type="dxa"/>
              <w:left w:w="108" w:type="dxa"/>
              <w:bottom w:w="0" w:type="dxa"/>
              <w:right w:w="108" w:type="dxa"/>
            </w:tcMar>
            <w:vAlign w:val="center"/>
          </w:tcPr>
          <w:p w:rsidR="00300018" w:rsidP="00405BEC" w:rsidRDefault="00300018" w14:paraId="59363927" w14:textId="77777777">
            <w:pPr>
              <w:jc w:val="center"/>
            </w:pPr>
          </w:p>
        </w:tc>
        <w:tc>
          <w:tcPr>
            <w:tcW w:w="2953" w:type="dxa"/>
            <w:vMerge/>
            <w:tcBorders/>
            <w:tcMar>
              <w:top w:w="0" w:type="dxa"/>
              <w:left w:w="108" w:type="dxa"/>
              <w:bottom w:w="0" w:type="dxa"/>
              <w:right w:w="108" w:type="dxa"/>
            </w:tcMar>
            <w:vAlign w:val="center"/>
          </w:tcPr>
          <w:p w:rsidR="00300018" w:rsidP="00405BEC" w:rsidRDefault="00300018" w14:paraId="103B6E0E" w14:textId="77777777"/>
        </w:tc>
      </w:tr>
      <w:tr w:rsidRPr="00082F85" w:rsidR="00D0134C" w:rsidTr="5E351399" w14:paraId="2B93E558" w14:textId="77777777">
        <w:tc>
          <w:tcPr>
            <w:tcW w:w="597" w:type="dxa"/>
            <w:vMerge/>
            <w:tcBorders/>
            <w:tcMar/>
          </w:tcPr>
          <w:p w:rsidR="00300018" w:rsidP="00405BEC" w:rsidRDefault="00300018" w14:paraId="51DDC92A" w14:textId="77777777">
            <w:pPr>
              <w:jc w:val="center"/>
            </w:pPr>
          </w:p>
        </w:tc>
        <w:tc>
          <w:tcPr>
            <w:tcW w:w="797"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9E2F3" w:themeFill="accent1" w:themeFillTint="33"/>
            <w:tcMar>
              <w:top w:w="0" w:type="dxa"/>
              <w:left w:w="108" w:type="dxa"/>
              <w:bottom w:w="0" w:type="dxa"/>
              <w:right w:w="108" w:type="dxa"/>
            </w:tcMar>
          </w:tcPr>
          <w:p w:rsidR="00300018" w:rsidP="00405BEC" w:rsidRDefault="00300018" w14:paraId="447B41B3" w14:textId="77777777">
            <w:pPr>
              <w:jc w:val="center"/>
            </w:pPr>
            <w:r>
              <w:t>GÉN</w:t>
            </w:r>
          </w:p>
        </w:tc>
        <w:tc>
          <w:tcPr>
            <w:tcW w:w="1702"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9E2F3" w:themeFill="accent1" w:themeFillTint="33"/>
            <w:tcMar>
              <w:top w:w="0" w:type="dxa"/>
              <w:left w:w="108" w:type="dxa"/>
              <w:bottom w:w="0" w:type="dxa"/>
              <w:right w:w="108" w:type="dxa"/>
            </w:tcMar>
          </w:tcPr>
          <w:p w:rsidR="00300018" w:rsidP="00405BEC" w:rsidRDefault="00300018" w14:paraId="47944A04" w14:textId="77777777">
            <w:r>
              <w:t xml:space="preserve">Culture scientifique </w:t>
            </w:r>
          </w:p>
        </w:tc>
        <w:tc>
          <w:tcPr>
            <w:tcW w:w="2977"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auto"/>
            <w:tcMar>
              <w:top w:w="0" w:type="dxa"/>
              <w:left w:w="108" w:type="dxa"/>
              <w:bottom w:w="0" w:type="dxa"/>
              <w:right w:w="108" w:type="dxa"/>
            </w:tcMar>
            <w:vAlign w:val="center"/>
          </w:tcPr>
          <w:p w:rsidR="00300018" w:rsidP="00405BEC" w:rsidRDefault="00882378" w14:paraId="1EE85B10" w14:textId="47EE5EFF">
            <w:pPr>
              <w:jc w:val="center"/>
            </w:pPr>
            <w:r>
              <w:t>SP-EVENT</w:t>
            </w:r>
          </w:p>
          <w:p w:rsidR="00300018" w:rsidP="00405BEC" w:rsidRDefault="00300018" w14:paraId="52FA45F6" w14:textId="291613E6">
            <w:pPr>
              <w:jc w:val="center"/>
            </w:pPr>
            <w:r>
              <w:t>(catégorie 2)</w:t>
            </w:r>
          </w:p>
        </w:tc>
        <w:tc>
          <w:tcPr>
            <w:tcW w:w="295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EDEDED" w:themeFill="accent3" w:themeFillTint="33"/>
            <w:tcMar>
              <w:top w:w="0" w:type="dxa"/>
              <w:left w:w="108" w:type="dxa"/>
              <w:bottom w:w="0" w:type="dxa"/>
              <w:right w:w="108" w:type="dxa"/>
            </w:tcMar>
            <w:vAlign w:val="center"/>
          </w:tcPr>
          <w:p w:rsidR="00300018" w:rsidP="00405BEC" w:rsidRDefault="00882378" w14:paraId="665ABD57" w14:textId="7474F174">
            <w:pPr>
              <w:jc w:val="center"/>
            </w:pPr>
            <w:r>
              <w:t>SP-PROGRAM</w:t>
            </w:r>
          </w:p>
          <w:p w:rsidR="00300018" w:rsidP="00405BEC" w:rsidRDefault="00300018" w14:paraId="421E9DAE" w14:textId="3B372201">
            <w:pPr>
              <w:jc w:val="center"/>
            </w:pPr>
            <w:r>
              <w:t>(catégorie 2)</w:t>
            </w:r>
          </w:p>
        </w:tc>
      </w:tr>
    </w:tbl>
    <w:p w:rsidR="00B65905" w:rsidP="00B65905" w:rsidRDefault="00B65905" w14:paraId="2F62E766" w14:textId="77777777"/>
    <w:bookmarkEnd w:id="2"/>
    <w:p w:rsidR="0094331B" w:rsidP="00B65905" w:rsidRDefault="001808EF" w14:paraId="22AEEE7E" w14:textId="643F0F7F">
      <w:r>
        <w:t xml:space="preserve">Le règlement repris dans ce document concerne les projets qui se classent dans la deuxième colonne et s'inscrivent donc dans le canal de subvention </w:t>
      </w:r>
      <w:r w:rsidR="00882378">
        <w:rPr>
          <w:b/>
          <w:bCs/>
          <w:u w:val="single"/>
        </w:rPr>
        <w:t>SP-PROGRAM</w:t>
      </w:r>
      <w:r>
        <w:t xml:space="preserve">. Pour la documentation relative au SP-EVENT, </w:t>
      </w:r>
      <w:r w:rsidR="00D625E5">
        <w:t>veuillez-vous</w:t>
      </w:r>
      <w:r>
        <w:t xml:space="preserve"> référer à la page qui y est consacrée sur notre site web</w:t>
      </w:r>
      <w:r w:rsidR="009C704A">
        <w:t xml:space="preserve"> : </w:t>
      </w:r>
      <w:hyperlink w:history="1" r:id="rId8">
        <w:proofErr w:type="spellStart"/>
        <w:r w:rsidRPr="009C704A">
          <w:rPr>
            <w:rStyle w:val="Hyperlink"/>
          </w:rPr>
          <w:t>innoviris.brussels</w:t>
        </w:r>
        <w:proofErr w:type="spellEnd"/>
        <w:r w:rsidRPr="009C704A">
          <w:rPr>
            <w:rStyle w:val="Hyperlink"/>
          </w:rPr>
          <w:t>/ SP-EVENT</w:t>
        </w:r>
      </w:hyperlink>
      <w:r>
        <w:t xml:space="preserve">. </w:t>
      </w:r>
    </w:p>
    <w:p w:rsidRPr="001808EF" w:rsidR="00B65905" w:rsidP="00B65905" w:rsidRDefault="00B65905" w14:paraId="324CEB62" w14:textId="15CDDB9B">
      <w:r>
        <w:t xml:space="preserve">Les organisations décident elles-mêmes de la catégorie dans laquelle s'inscrit leur demande de subvention (STEM/GÉN) parmi les deux objectifs du SP-PROGRAM. Dans chaque catégorie, les demandes éligibles sont évaluées par un jury </w:t>
      </w:r>
      <w:r w:rsidR="00D625E5">
        <w:t>inter collégial</w:t>
      </w:r>
      <w:r>
        <w:t xml:space="preserve"> (examen par les pairs). Les membres du jury sont choisis dans les secteurs de la science, de la sensibilisation et de l'enseignement, en fonction de leur expertise. Les membres du jury sont tenus de respecter la confidentialité du matériel de demande et du processus d'évaluation, et de signaler tout conflit d'intérêts réel, potentiel ou apparent. Tous les membres du jury doivent signer une déclaration de confidentialité. Les demandes retenues sont toujours examinées par le personnel d'Innoviris pour s'assurer qu'elles sont conformes aux directives et aux politiques d'Innoviris.</w:t>
      </w:r>
    </w:p>
    <w:p w:rsidR="00B65905" w:rsidP="00B65905" w:rsidRDefault="00B65905" w14:paraId="4BEEE3CC" w14:textId="689C96DB">
      <w:r>
        <w:t xml:space="preserve">Innoviris encourage les organisations à tenir compte, dans leurs projets, des besoins des groupes sous-représentés dans le projet et à </w:t>
      </w:r>
      <w:r w:rsidR="00381F99">
        <w:t>fournir</w:t>
      </w:r>
      <w:r>
        <w:t xml:space="preserve"> des efforts supplémentaires pour atteindre ces groupes (voir les critères d'évaluation). Les groupes sous-représentés dans le cadre du programme STEM comprennent les filles/femmes et les personnes non binaires, les personnes handicapées, les personnes issues de milieux/situations sociales vulnérables, les membres de minorités ethniques et culturelles visibles et les membres des communautés LGBTQI+. </w:t>
      </w:r>
    </w:p>
    <w:p w:rsidR="00B65905" w:rsidP="00B65905" w:rsidRDefault="00882378" w14:paraId="26A5DF21" w14:textId="39A34671">
      <w:r>
        <w:rPr>
          <w:b/>
        </w:rPr>
        <w:t>Les subventions du SP-PROGRAM (et SP-EVENT) ont chacune une durée d'un an maximum.</w:t>
      </w:r>
      <w:r>
        <w:t xml:space="preserve"> À la fin de cette année, les projets doivent remettre un rapport scientifique et financier final. Tant les salaires que les frais de fonctionnement sont éligibles pour cette subvention, pour autant qu'ils soient liés à la promotion de la science et de la technologie. Un aperçu des exigences en matière de rapportage est fourni aux bénéficiaires avec la notification de la subvention.</w:t>
      </w:r>
    </w:p>
    <w:p w:rsidR="00D1527F" w:rsidP="00C51E94" w:rsidRDefault="00D1527F" w14:paraId="2574F087" w14:textId="77777777"/>
    <w:p w:rsidR="00D91F34" w:rsidP="00DF5956" w:rsidRDefault="00D91F34" w14:paraId="240C0AEF" w14:textId="6E5DFC36">
      <w:pPr>
        <w:pStyle w:val="Kop1"/>
        <w:numPr>
          <w:ilvl w:val="0"/>
          <w:numId w:val="6"/>
        </w:numPr>
      </w:pPr>
      <w:bookmarkStart w:name="_Toc160549715" w:id="4"/>
      <w:r>
        <w:t>Éligibilité</w:t>
      </w:r>
      <w:bookmarkEnd w:id="4"/>
      <w:r>
        <w:t xml:space="preserve"> </w:t>
      </w:r>
    </w:p>
    <w:p w:rsidRPr="00D84109" w:rsidR="00D84109" w:rsidP="00D84109" w:rsidRDefault="00D84109" w14:paraId="507BD342" w14:textId="134A88DE">
      <w:pPr>
        <w:spacing w:before="240"/>
        <w:rPr>
          <w:highlight w:val="yellow"/>
        </w:rPr>
      </w:pPr>
      <w:r>
        <w:t>Les projets d'acteurs économiques et non économiques sont éligibles à une subvention SP-PROGRAM. Pour être éligibles, les projets doivent</w:t>
      </w:r>
      <w:r w:rsidR="00CA6041">
        <w:t> :</w:t>
      </w:r>
    </w:p>
    <w:p w:rsidR="00FB6079" w:rsidP="00CA6041" w:rsidRDefault="00CA6041" w14:paraId="5E022DD6" w14:textId="0B1E65A9">
      <w:pPr>
        <w:pStyle w:val="Lijstalinea"/>
        <w:numPr>
          <w:ilvl w:val="0"/>
          <w:numId w:val="4"/>
        </w:numPr>
        <w:ind w:left="426"/>
      </w:pPr>
      <w:r>
        <w:t>S’adresser</w:t>
      </w:r>
      <w:r w:rsidR="00FB6079">
        <w:t xml:space="preserve"> aux Bruxellois sur la base des éléments suivants :</w:t>
      </w:r>
    </w:p>
    <w:p w:rsidR="00FB6079" w:rsidP="00CA6041" w:rsidRDefault="00CA6041" w14:paraId="14A56601" w14:textId="1EB77F8C">
      <w:pPr>
        <w:pStyle w:val="Lijstalinea"/>
        <w:numPr>
          <w:ilvl w:val="0"/>
          <w:numId w:val="4"/>
        </w:numPr>
        <w:ind w:left="709"/>
      </w:pPr>
      <w:r>
        <w:t>Un</w:t>
      </w:r>
      <w:r w:rsidR="00A97FF7">
        <w:t xml:space="preserve"> programme d'activités </w:t>
      </w:r>
      <w:r w:rsidR="00415765">
        <w:t>continue</w:t>
      </w:r>
      <w:r w:rsidR="00A97FF7">
        <w:t xml:space="preserve"> avec un format similaire (par exemple, une série de formations, de conférences, d'ateliers, d'activités extrascolaires, de camps à caractère récurrent)</w:t>
      </w:r>
    </w:p>
    <w:p w:rsidR="00FB6079" w:rsidP="00CA6041" w:rsidRDefault="00CA6041" w14:paraId="2846E020" w14:textId="499EAD05">
      <w:pPr>
        <w:pStyle w:val="Lijstalinea"/>
        <w:numPr>
          <w:ilvl w:val="0"/>
          <w:numId w:val="4"/>
        </w:numPr>
        <w:ind w:left="709"/>
      </w:pPr>
      <w:r>
        <w:t>Qui</w:t>
      </w:r>
      <w:r w:rsidR="00FB6079">
        <w:t xml:space="preserve"> vise à sensibiliser à la science, à la technologie et/ou à l'innovation en :</w:t>
      </w:r>
    </w:p>
    <w:p w:rsidR="00FB6079" w:rsidP="00CA6041" w:rsidRDefault="00CA6041" w14:paraId="4210E219" w14:textId="7B51DABC">
      <w:pPr>
        <w:pStyle w:val="Lijstalinea"/>
        <w:numPr>
          <w:ilvl w:val="1"/>
          <w:numId w:val="4"/>
        </w:numPr>
        <w:ind w:left="1134"/>
      </w:pPr>
      <w:r>
        <w:t>Attirant</w:t>
      </w:r>
      <w:r w:rsidR="00FB6079">
        <w:t xml:space="preserve"> les jeunes vers les domaines d'études et les carrières STEM (catégorie 1) ou </w:t>
      </w:r>
    </w:p>
    <w:p w:rsidR="00FB6079" w:rsidP="00CA6041" w:rsidRDefault="00CA6041" w14:paraId="1CBEB4F2" w14:textId="794C8EDA">
      <w:pPr>
        <w:pStyle w:val="Lijstalinea"/>
        <w:numPr>
          <w:ilvl w:val="1"/>
          <w:numId w:val="4"/>
        </w:numPr>
        <w:ind w:left="1134"/>
      </w:pPr>
      <w:r>
        <w:t>Stimulant</w:t>
      </w:r>
      <w:r w:rsidR="00FB6079">
        <w:t xml:space="preserve"> une culture scientifique auprès du grand public (catégorie 2)</w:t>
      </w:r>
    </w:p>
    <w:p w:rsidR="003C7D32" w:rsidP="003C7D32" w:rsidRDefault="003C7D32" w14:paraId="094A8CEF" w14:textId="7B0DBDD7">
      <w:r>
        <w:t>Les projets ne sont éligibles que s'ils respectent ce cadre et le calendrier du canal de subvention SP-PROGRAM (voir 4. Calendrier). Dans ce paragraphe, nous détaillons les acteurs et les activités éligibles.</w:t>
      </w:r>
    </w:p>
    <w:p w:rsidR="005E2601" w:rsidP="003C7D32" w:rsidRDefault="003C7D32" w14:paraId="2650387B" w14:textId="6B6E9EA4">
      <w:r>
        <w:t>Les demandes doivent également être rédigées conformément aux exigences formelles (utilisation du bon formulaire de demande, respect du nombre de pages requis, formulaire dûment complété, signature du formulaire par tous les partenaires, etc.)</w:t>
      </w:r>
      <w:r w:rsidR="00C854A7">
        <w:t>.</w:t>
      </w:r>
      <w:r>
        <w:t xml:space="preserve"> Les projets doivent également expressément mentionner la méthodologie, l'approche pédagogique pour atteindre l'objectif fixé et l'impact attendu. </w:t>
      </w:r>
    </w:p>
    <w:p w:rsidR="00D91F34" w:rsidP="00D91F34" w:rsidRDefault="009953CE" w14:paraId="5F8E3BAF" w14:textId="15F86D0C">
      <w:r>
        <w:t xml:space="preserve">Les demandes incomplètes et les demandes qui ne répondent pas aux exigences du formulaire peuvent être rejetées ou désavantagées par rapport aux demandes complètes et qui satisfont aux exigences formelles. </w:t>
      </w:r>
    </w:p>
    <w:p w:rsidRPr="003404F8" w:rsidR="00D91F34" w:rsidP="00DF5956" w:rsidRDefault="00D91F34" w14:paraId="6E9487A8" w14:textId="77777777">
      <w:pPr>
        <w:pStyle w:val="Kop2"/>
      </w:pPr>
      <w:bookmarkStart w:name="_Toc160549716" w:id="5"/>
      <w:r>
        <w:t>Quelles sont les organisations éligibles ?</w:t>
      </w:r>
      <w:bookmarkEnd w:id="5"/>
    </w:p>
    <w:p w:rsidR="00D91F34" w:rsidP="00D91F34" w:rsidRDefault="00D91F34" w14:paraId="530E2872" w14:textId="04C32364">
      <w:bookmarkStart w:name="_Hlk152707165" w:id="6"/>
      <w:r>
        <w:t>Toute structure ou entité dotée de la personnalité juridique et ayant au moins un siège d'exploitation dans la Région de Bruxelles-Capitale est éligible à une subvention SP-PROGRAM. La demande n'est éligible que si elle est introduite auprès d'Innoviris par la personne légalement qualifiée pour engager l'organisation. Le porteur du projet doit également avoir satisfait à toutes les obligations découlant d'éventuelles subventions antérieures de la Région. Le futur bénéficiaire ne peut pas avoir de difficultés financières (s'applique uniquement aux entreprises). Pour les projets impliquant plusieurs partenaires, chaque partenaire qui fait une demande de financement doit remplir les conditions ci-dessus.</w:t>
      </w:r>
    </w:p>
    <w:bookmarkEnd w:id="6"/>
    <w:p w:rsidRPr="003354B5" w:rsidR="007905CC" w:rsidP="007905CC" w:rsidRDefault="007905CC" w14:paraId="1DFEBC63" w14:textId="33A55C01">
      <w:pPr>
        <w:rPr>
          <w:rFonts w:ascii="Times New Roman" w:hAnsi="Times New Roman" w:eastAsia="Times New Roman"/>
        </w:rPr>
      </w:pPr>
      <w:r>
        <w:t>L'aide aux acteurs non économiques dans le cadre de cet appel est accordé</w:t>
      </w:r>
      <w:r w:rsidR="00C854A7">
        <w:t>e</w:t>
      </w:r>
      <w:r>
        <w:t xml:space="preserve"> conformément à l'Encadrement des aides d'État à la recherche, au développement et à l'innovation (2014/C 198/01).</w:t>
      </w:r>
    </w:p>
    <w:p w:rsidRPr="003354B5" w:rsidR="007905CC" w:rsidP="007905CC" w:rsidRDefault="007905CC" w14:paraId="508DD703" w14:textId="724E3CDB">
      <w:r>
        <w:rPr>
          <w:rStyle w:val="Verwijzingopmerking"/>
          <w:sz w:val="24"/>
        </w:rPr>
        <w:t>L'aide accordée aux acteurs économiques dans le cadre de cet appel constitue une aide de minimis conformément au règlement (UE) 2023/2831 de la Commission du 13 décembre 2023 relatif à l'application des articles 107 et 108 du traité sur le fonctionnement de l'Union européenne aux aides de minimis.</w:t>
      </w:r>
      <w:r>
        <w:t xml:space="preserve"> Par conséquent, les bénéficiaires doivent s'assurer que l'aide reçue ne porte pas le montant total des aides de minimis qui leur ont déjà été octroyées au-delà du plafond de 300 000 euros sur une période de trois ans</w:t>
      </w:r>
      <w:r w:rsidR="00CA6041">
        <w:t>,</w:t>
      </w:r>
      <w:r>
        <w:t xml:space="preserve"> imposé</w:t>
      </w:r>
      <w:r w:rsidR="007101B9">
        <w:t>e</w:t>
      </w:r>
      <w:r>
        <w:t xml:space="preserve"> par le règlement n° 2023/2831. Pou</w:t>
      </w:r>
      <w:r w:rsidR="00CA6041">
        <w:t>r</w:t>
      </w:r>
      <w:r>
        <w:t xml:space="preserve"> cela, ils remplissent une déclaration sur l'honneur qui le confirme (voir 5. Formulaire de demande et annexes).</w:t>
      </w:r>
    </w:p>
    <w:p w:rsidR="00D91F34" w:rsidP="00D91F34" w:rsidRDefault="00D91F34" w14:paraId="6A465110" w14:textId="77777777"/>
    <w:p w:rsidR="00D91F34" w:rsidP="00DF5956" w:rsidRDefault="00D91F34" w14:paraId="26A0D497" w14:textId="77777777">
      <w:pPr>
        <w:pStyle w:val="Kop2"/>
      </w:pPr>
      <w:bookmarkStart w:name="_Toc160549717" w:id="7"/>
      <w:r>
        <w:t>Quelles sont les activités éligibles ?</w:t>
      </w:r>
      <w:bookmarkEnd w:id="7"/>
    </w:p>
    <w:p w:rsidRPr="00F66004" w:rsidR="00D91F34" w:rsidP="00D91F34" w:rsidRDefault="00D91F34" w14:paraId="03086F6A" w14:textId="48CD31BC">
      <w:r>
        <w:t>Un large éventail d'activités de sensibilisation à la science, à la technologie et/ou à l'innovation peut bénéficier d'un financement SP-PROGRAM. Les points suivants apportent des réponses aux questions fréquemment posées sur le financement des projets :</w:t>
      </w:r>
    </w:p>
    <w:p w:rsidR="00D91F34" w:rsidP="00941430" w:rsidRDefault="00D91F34" w14:paraId="75A6DEB7" w14:textId="77777777">
      <w:pPr>
        <w:pStyle w:val="Lijstalinea"/>
        <w:numPr>
          <w:ilvl w:val="0"/>
          <w:numId w:val="8"/>
        </w:numPr>
        <w:pBdr>
          <w:top w:val="none" w:color="auto" w:sz="0" w:space="0"/>
          <w:left w:val="none" w:color="auto" w:sz="0" w:space="0"/>
          <w:bottom w:val="none" w:color="auto" w:sz="0" w:space="0"/>
          <w:right w:val="none" w:color="auto" w:sz="0" w:space="0"/>
          <w:between w:val="none" w:color="auto" w:sz="0" w:space="0"/>
        </w:pBdr>
        <w:spacing w:after="160" w:line="259" w:lineRule="auto"/>
        <w:ind w:left="567"/>
      </w:pPr>
      <w:r>
        <w:t>Par type d'activité :</w:t>
      </w:r>
    </w:p>
    <w:p w:rsidR="009B106D" w:rsidP="00941430" w:rsidRDefault="00C11AC6" w14:paraId="4398AA51" w14:textId="26D67299">
      <w:pPr>
        <w:pStyle w:val="Lijstalinea"/>
        <w:numPr>
          <w:ilvl w:val="1"/>
          <w:numId w:val="8"/>
        </w:numPr>
        <w:pBdr>
          <w:top w:val="none" w:color="auto" w:sz="0" w:space="0"/>
          <w:left w:val="none" w:color="auto" w:sz="0" w:space="0"/>
          <w:bottom w:val="none" w:color="auto" w:sz="0" w:space="0"/>
          <w:right w:val="none" w:color="auto" w:sz="0" w:space="0"/>
          <w:between w:val="none" w:color="auto" w:sz="0" w:space="0"/>
        </w:pBdr>
        <w:spacing w:after="160" w:line="259" w:lineRule="auto"/>
        <w:ind w:left="993"/>
      </w:pPr>
      <w:r>
        <w:t xml:space="preserve">Les projets doivent se rapporter à un « programme d'activités </w:t>
      </w:r>
      <w:r w:rsidRPr="00C11AC6">
        <w:rPr>
          <w:i/>
          <w:iCs/>
        </w:rPr>
        <w:t>continues</w:t>
      </w:r>
      <w:r>
        <w:t xml:space="preserve"> avec un </w:t>
      </w:r>
      <w:r w:rsidRPr="00C11AC6">
        <w:rPr>
          <w:i/>
          <w:iCs/>
        </w:rPr>
        <w:t>format similaire</w:t>
      </w:r>
      <w:r>
        <w:t xml:space="preserve"> ». Le caractère </w:t>
      </w:r>
      <w:r w:rsidRPr="00C11AC6">
        <w:rPr>
          <w:i/>
          <w:iCs/>
        </w:rPr>
        <w:t>continu</w:t>
      </w:r>
      <w:r>
        <w:t xml:space="preserve"> est ici opposé à l'aspect temporaire d'un événement. Il s'agit donc d'une série d'activités à long terme réparties tout au long de l'année. Ces activités ont également un </w:t>
      </w:r>
      <w:r w:rsidRPr="00760870" w:rsidR="00760870">
        <w:rPr>
          <w:i/>
          <w:iCs/>
        </w:rPr>
        <w:t>format similaire</w:t>
      </w:r>
      <w:r>
        <w:t>, en ce sens qu'il s'agit à chaque fois du même type d'activités avec des contenus différents</w:t>
      </w:r>
      <w:r w:rsidR="00760870">
        <w:rPr>
          <w:i/>
          <w:iCs/>
        </w:rPr>
        <w:t>.</w:t>
      </w:r>
      <w:r>
        <w:t xml:space="preserve"> Les exemples incluent une série de conférences, une série d'ateliers, une série de sessions de formation, une série de laboratoires, une série de camps, etc. </w:t>
      </w:r>
    </w:p>
    <w:p w:rsidRPr="002F3782" w:rsidR="009B106D" w:rsidP="00941430" w:rsidRDefault="009B106D" w14:paraId="00DAA3C3" w14:textId="6FE45944">
      <w:pPr>
        <w:pStyle w:val="Lijstalinea"/>
        <w:numPr>
          <w:ilvl w:val="1"/>
          <w:numId w:val="8"/>
        </w:numPr>
        <w:pBdr>
          <w:top w:val="none" w:color="auto" w:sz="0" w:space="0"/>
          <w:left w:val="none" w:color="auto" w:sz="0" w:space="0"/>
          <w:bottom w:val="none" w:color="auto" w:sz="0" w:space="0"/>
          <w:right w:val="none" w:color="auto" w:sz="0" w:space="0"/>
          <w:between w:val="none" w:color="auto" w:sz="0" w:space="0"/>
        </w:pBdr>
        <w:spacing w:after="160" w:line="259" w:lineRule="auto"/>
        <w:ind w:left="993"/>
      </w:pPr>
      <w:r>
        <w:t>Combiner différentes séries d'activités dans une seule proposition SP-PROGRAM est autorisé. Cela permet aux organisations de proposer à la fois une série de conférences, une série d'ateliers et une série de laboratoires à leur groupe cible au cours de l'année. Il n'est pas nécessaire d'introduire une demande distincte pour chaque série. Nous demandons toutefois une estimation distincte du budget pour chaque série d'activités. Une série d'activités autonomes de différents formats n'est pas éligible au financement SP-PROGRAM.</w:t>
      </w:r>
    </w:p>
    <w:p w:rsidR="009015F3" w:rsidP="5D0C8C09" w:rsidRDefault="009015F3" w14:paraId="28E2C29D" w14:textId="016F3246">
      <w:pPr>
        <w:pStyle w:val="Lijstalinea"/>
        <w:numPr>
          <w:ilvl w:val="1"/>
          <w:numId w:val="8"/>
        </w:numPr>
        <w:pBdr>
          <w:top w:val="none" w:color="FF000000" w:sz="0" w:space="0"/>
          <w:left w:val="none" w:color="FF000000" w:sz="0" w:space="0"/>
          <w:bottom w:val="none" w:color="FF000000" w:sz="0" w:space="0"/>
          <w:right w:val="none" w:color="FF000000" w:sz="0" w:space="0"/>
          <w:between w:val="none" w:color="FF000000" w:sz="0" w:space="0"/>
        </w:pBdr>
        <w:spacing w:after="160" w:line="259" w:lineRule="auto"/>
        <w:ind w:left="993"/>
        <w:rPr/>
      </w:pPr>
      <w:r w:rsidR="009015F3">
        <w:rPr/>
        <w:t xml:space="preserve">Le développement de nouveaux contenus digitaux </w:t>
      </w:r>
      <w:r w:rsidR="007E4BDA">
        <w:rPr/>
        <w:t>(</w:t>
      </w:r>
      <w:r w:rsidR="009015F3">
        <w:rPr/>
        <w:t>site web</w:t>
      </w:r>
      <w:r w:rsidR="007E4BDA">
        <w:rPr/>
        <w:t>, podcasts, médias visuels, radio, etc.) ou des</w:t>
      </w:r>
      <w:r w:rsidR="009015F3">
        <w:rPr/>
        <w:t xml:space="preserve"> plateforme</w:t>
      </w:r>
      <w:r w:rsidR="007E4BDA">
        <w:rPr/>
        <w:t>s</w:t>
      </w:r>
      <w:r w:rsidR="009015F3">
        <w:rPr/>
        <w:t xml:space="preserve"> visant à sensibiliser les Bruxellois aux objectifs susmentionnés est également éligible au financement dans le cadre du SP-PROGRAM. Ce contenu est, en effet, disponible en continu.</w:t>
      </w:r>
      <w:r w:rsidR="007E4BDA">
        <w:rPr/>
        <w:t xml:space="preserve"> L’impact </w:t>
      </w:r>
      <w:r w:rsidR="007E4BDA">
        <w:rPr/>
        <w:t>de</w:t>
      </w:r>
      <w:r w:rsidR="007E4BDA">
        <w:rPr/>
        <w:t xml:space="preserve"> ces actions sur la population bruxelloise sera évalué par le jury.</w:t>
      </w:r>
      <w:r w:rsidR="009015F3">
        <w:rPr/>
        <w:t xml:space="preserve"> </w:t>
      </w:r>
    </w:p>
    <w:p w:rsidR="00D91F34" w:rsidP="00941430" w:rsidRDefault="00D91F34" w14:paraId="4533A350" w14:textId="77777777">
      <w:pPr>
        <w:pStyle w:val="Lijstalinea"/>
        <w:numPr>
          <w:ilvl w:val="0"/>
          <w:numId w:val="8"/>
        </w:numPr>
        <w:ind w:left="567"/>
      </w:pPr>
      <w:r>
        <w:t xml:space="preserve">Par objectif : </w:t>
      </w:r>
    </w:p>
    <w:p w:rsidRPr="00074582" w:rsidR="00D91F34" w:rsidP="00941430" w:rsidRDefault="002C5BA1" w14:paraId="690D165E" w14:textId="66DCA318">
      <w:pPr>
        <w:pStyle w:val="Lijstalinea"/>
        <w:numPr>
          <w:ilvl w:val="1"/>
          <w:numId w:val="8"/>
        </w:numPr>
        <w:ind w:left="993"/>
      </w:pPr>
      <w:bookmarkStart w:name="_Hlk152709230" w:id="8"/>
      <w:r w:rsidRPr="002C5BA1">
        <w:t>STEM jeunes (catégorie 1a) : Il s'agit d'</w:t>
      </w:r>
      <w:r w:rsidR="00C542F3">
        <w:t>activités</w:t>
      </w:r>
      <w:r w:rsidRPr="002C5BA1">
        <w:t xml:space="preserve"> dont la forme et le contenu s'adressent aux enfants et aux jeunes Bruxellois en âge scolaire (école maternelle, école primaire, école secondaire, école supérieure et/ou université). </w:t>
      </w:r>
      <w:r w:rsidR="00857A7C">
        <w:t xml:space="preserve">Les activités proposées doivent avoir un contenu significatif axé sur les STEM et viser principalement à accroître les compétences et les connaissances STEM des enfants/jeunes. En outre, elles doivent motiver les jeunes à étudier les STEM à court ou à long terme et à poursuivre une carrière dans ce domaine. Les activités </w:t>
      </w:r>
      <w:r w:rsidRPr="002C29C9" w:rsidR="00D91F34">
        <w:rPr>
          <w:i/>
          <w:iCs/>
        </w:rPr>
        <w:t>principalement</w:t>
      </w:r>
      <w:r w:rsidR="00857A7C">
        <w:t xml:space="preserve"> axées sur la santé, la médecine, les sciences sociales ou les arts ne peuvent pas bénéficier d'une aide dans le cadre du financement SP-</w:t>
      </w:r>
      <w:r w:rsidR="007E4BDA">
        <w:t>P</w:t>
      </w:r>
      <w:r w:rsidR="00857A7C">
        <w:t>ROGRAM, pas plus que les activités principalement axées sur la défense d'intérêts.</w:t>
      </w:r>
      <w:bookmarkEnd w:id="8"/>
    </w:p>
    <w:p w:rsidRPr="00171EAB" w:rsidR="00D91F34" w:rsidP="00941430" w:rsidRDefault="00EC7275" w14:paraId="361FF9FA" w14:textId="24171F24">
      <w:pPr>
        <w:pStyle w:val="Lijstalinea"/>
        <w:numPr>
          <w:ilvl w:val="1"/>
          <w:numId w:val="8"/>
        </w:numPr>
        <w:ind w:left="993"/>
      </w:pPr>
      <w:r>
        <w:t xml:space="preserve">STEM-enseignants (catégorie 1b) : Innoviris soutient également des programmes qui s'adressent aux enseignants bruxellois. </w:t>
      </w:r>
      <w:bookmarkStart w:name="_Hlk152710027" w:id="9"/>
      <w:r>
        <w:t>Ces activités aussi doivent avoir un contenu significatif axé sur les STEM et viser principalement à accroître leurs compétences et leurs connaissances STEM. Elles doivent permettre aux enseignants de dispenser plus facilement un enseignement STEM de qualité.</w:t>
      </w:r>
      <w:bookmarkEnd w:id="9"/>
      <w:r>
        <w:t xml:space="preserve"> </w:t>
      </w:r>
      <w:bookmarkStart w:name="_Hlk152710063" w:id="10"/>
      <w:r>
        <w:t xml:space="preserve">Le fait de suivre les activités proposées contribue à leur développement professionnel et améliore leurs connaissances, leurs compétences et leur enthousiasme pour l'enseignement des STEM. </w:t>
      </w:r>
      <w:bookmarkEnd w:id="10"/>
      <w:r>
        <w:t xml:space="preserve">Les activités doivent néanmoins être indépendantes des cours accrédités ou des conditions d'obtention d'un diplôme. Les activités principalement axées sur la défense d'intérêts ne sont pas éligibles. </w:t>
      </w:r>
    </w:p>
    <w:p w:rsidRPr="009F43CD" w:rsidR="00D91F34" w:rsidP="00941430" w:rsidRDefault="00D91F34" w14:paraId="03C5BFE5" w14:textId="7D825F26">
      <w:pPr>
        <w:pStyle w:val="Lijstalinea"/>
        <w:numPr>
          <w:ilvl w:val="1"/>
          <w:numId w:val="8"/>
        </w:numPr>
        <w:ind w:left="993"/>
      </w:pPr>
      <w:r>
        <w:t>Projets destinés au grand public (catégorie 2) : Les activités et le contenu doivent stimuler le désir d'un large public de Bruxellois de continuer à apprendre les sciences, de comprendre la méthode scientifique et de développer un esprit critique ainsi qu'un sens de l'émerveillement. Dans cette catégorie, les activités proposées ne doivent pas nécessairement se limiter aux STEM. Les activités principalement axées sur la défense d'intérêts ne sont pas éligibles.</w:t>
      </w:r>
    </w:p>
    <w:p w:rsidRPr="009F43CD" w:rsidR="009F43CD" w:rsidP="00941430" w:rsidRDefault="009F43CD" w14:paraId="17AABF5A" w14:textId="3368B4C1">
      <w:pPr>
        <w:pStyle w:val="Lijstalinea"/>
        <w:numPr>
          <w:ilvl w:val="1"/>
          <w:numId w:val="8"/>
        </w:numPr>
        <w:ind w:left="993"/>
      </w:pPr>
      <w:r>
        <w:t xml:space="preserve">Combiner les différents objectifs au sein d'un même projet est autorisé. </w:t>
      </w:r>
    </w:p>
    <w:p w:rsidRPr="00CE5D56" w:rsidR="00D91F34" w:rsidP="00941430" w:rsidRDefault="00D91F34" w14:paraId="545F6006" w14:textId="0B976266">
      <w:pPr>
        <w:pStyle w:val="Lijstalinea"/>
        <w:numPr>
          <w:ilvl w:val="0"/>
          <w:numId w:val="8"/>
        </w:numPr>
        <w:ind w:left="567"/>
      </w:pPr>
      <w:r>
        <w:t>Date de début : les demandes de subvention concernent toujours des projets prévus pour l'année scolaire suivante. Les projets déjà entamés avant l'introduction de la demande ne seront pas financés.</w:t>
      </w:r>
      <w:r w:rsidR="00F11513">
        <w:t xml:space="preserve"> Cependant afin de permettre une phase de préparation les projet</w:t>
      </w:r>
      <w:r w:rsidR="00B801B1">
        <w:t>s</w:t>
      </w:r>
      <w:r w:rsidR="00F11513">
        <w:t xml:space="preserve"> peuvent commencer à partir du 1</w:t>
      </w:r>
      <w:r w:rsidRPr="00B801B1" w:rsidR="00F11513">
        <w:rPr>
          <w:vertAlign w:val="superscript"/>
        </w:rPr>
        <w:t>er</w:t>
      </w:r>
      <w:r w:rsidR="00F11513">
        <w:t xml:space="preserve"> juillet.</w:t>
      </w:r>
      <w:r>
        <w:t xml:space="preserve"> </w:t>
      </w:r>
    </w:p>
    <w:p w:rsidRPr="00947473" w:rsidR="00CE5D56" w:rsidP="00941430" w:rsidRDefault="00CE5D56" w14:paraId="387F942F" w14:textId="6E8E5CFB">
      <w:pPr>
        <w:pStyle w:val="Lijstalinea"/>
        <w:numPr>
          <w:ilvl w:val="0"/>
          <w:numId w:val="8"/>
        </w:numPr>
        <w:pBdr>
          <w:top w:val="none" w:color="auto" w:sz="0" w:space="0"/>
          <w:left w:val="none" w:color="auto" w:sz="0" w:space="0"/>
          <w:bottom w:val="none" w:color="auto" w:sz="0" w:space="0"/>
          <w:right w:val="none" w:color="auto" w:sz="0" w:space="0"/>
          <w:between w:val="none" w:color="auto" w:sz="0" w:space="0"/>
        </w:pBdr>
        <w:spacing w:after="160" w:line="259" w:lineRule="auto"/>
        <w:ind w:left="567"/>
      </w:pPr>
      <w:bookmarkStart w:name="_Hlk152573624" w:id="11"/>
      <w:r>
        <w:t>Nouveaux programmes ou programmes pilotes : Les propositions relatives à des programmes entièrement neufs ou à des programmes pilotes doivent comporter des preuves solides de la faisabilité du programme et de l'impact attendu des activités (par exemple, des lettres de soutien, des données provenant d'autres programmes similaires couronnés de succès).</w:t>
      </w:r>
    </w:p>
    <w:p w:rsidR="00D91F34" w:rsidP="00941430" w:rsidRDefault="00B22F5A" w14:paraId="43CD004A" w14:textId="1F109C0F">
      <w:pPr>
        <w:pStyle w:val="Lijstalinea"/>
        <w:numPr>
          <w:ilvl w:val="0"/>
          <w:numId w:val="8"/>
        </w:numPr>
        <w:ind w:left="567"/>
      </w:pPr>
      <w:bookmarkStart w:name="_Hlk152710397" w:id="12"/>
      <w:bookmarkEnd w:id="11"/>
      <w:r>
        <w:t xml:space="preserve">Les activités proposées par les universités et les écoles supérieures doivent être en rapport avec les objectifs d'Innoviris et ne peuvent pas être destinées au recrutement. </w:t>
      </w:r>
    </w:p>
    <w:p w:rsidRPr="00322C10" w:rsidR="00322C10" w:rsidP="00941430" w:rsidRDefault="00B22F5A" w14:paraId="1791C7E8" w14:textId="33FCED8B">
      <w:pPr>
        <w:pStyle w:val="Lijstalinea"/>
        <w:numPr>
          <w:ilvl w:val="0"/>
          <w:numId w:val="8"/>
        </w:numPr>
        <w:ind w:left="567"/>
      </w:pPr>
      <w:r>
        <w:t xml:space="preserve">Les activités proposées par les acteurs économiques doivent être en rapport avec les objectifs d'Innoviris et ne doivent pas être à but lucratif ou de recrutement. </w:t>
      </w:r>
    </w:p>
    <w:p w:rsidR="00D91F34" w:rsidP="00941430" w:rsidRDefault="00F034B7" w14:paraId="2A90E542" w14:textId="0AD62829">
      <w:pPr>
        <w:pStyle w:val="Lijstalinea"/>
        <w:numPr>
          <w:ilvl w:val="0"/>
          <w:numId w:val="8"/>
        </w:numPr>
        <w:ind w:left="567"/>
      </w:pPr>
      <w:r>
        <w:t>Si les organisations bénéficient déjà d'un financement de base public (par exemple, les musées et les centres scientifiques), seules les activités qui ne bénéficient pas encore d'un financement de base seront éligibles.</w:t>
      </w:r>
    </w:p>
    <w:bookmarkEnd w:id="12"/>
    <w:p w:rsidRPr="00171EAB" w:rsidR="00E2238B" w:rsidP="00D91F34" w:rsidRDefault="00E2238B" w14:paraId="2D848C3E" w14:textId="77777777">
      <w:pPr>
        <w:pStyle w:val="Lijstalinea"/>
      </w:pPr>
    </w:p>
    <w:p w:rsidRPr="003A3CEE" w:rsidR="00D91F34" w:rsidP="00DF5956" w:rsidRDefault="00D91F34" w14:paraId="124BD9DC" w14:textId="77777777">
      <w:pPr>
        <w:pStyle w:val="Kop2"/>
      </w:pPr>
      <w:bookmarkStart w:name="_Toc160549718" w:id="13"/>
      <w:r>
        <w:t>Subventions multiples</w:t>
      </w:r>
      <w:bookmarkEnd w:id="13"/>
    </w:p>
    <w:p w:rsidR="00D91F34" w:rsidP="00D91F34" w:rsidRDefault="00D91F34" w14:paraId="02F18832" w14:textId="2B071042">
      <w:pPr>
        <w:pBdr>
          <w:top w:val="none" w:color="auto" w:sz="0" w:space="0"/>
          <w:left w:val="none" w:color="auto" w:sz="0" w:space="0"/>
          <w:bottom w:val="none" w:color="auto" w:sz="0" w:space="0"/>
          <w:right w:val="none" w:color="auto" w:sz="0" w:space="0"/>
          <w:between w:val="none" w:color="auto" w:sz="0" w:space="0"/>
        </w:pBdr>
        <w:spacing w:after="160" w:line="259" w:lineRule="auto"/>
      </w:pPr>
      <w:r>
        <w:t>Innoviris permet à une organisation de recevoir plusieurs subventions simultanées d'Innoviris, à condition qu'il soit clairement démontré dans la demande qu'il n'y a aucun chevauchement avec des activités déjà soutenues par une ou plusieurs subventions d'Innoviris en cours. Il appartient au demandeur d'identifier les autres activités de l'organisation actuellement soutenues par Innoviris.</w:t>
      </w:r>
    </w:p>
    <w:p w:rsidR="00A56D30" w:rsidRDefault="00A56D30" w14:paraId="509F4A79" w14:textId="51050169">
      <w:pPr>
        <w:pBdr>
          <w:top w:val="none" w:color="auto" w:sz="0" w:space="0"/>
          <w:left w:val="none" w:color="auto" w:sz="0" w:space="0"/>
          <w:bottom w:val="none" w:color="auto" w:sz="0" w:space="0"/>
          <w:right w:val="none" w:color="auto" w:sz="0" w:space="0"/>
          <w:between w:val="none" w:color="auto" w:sz="0" w:space="0"/>
        </w:pBdr>
        <w:spacing w:after="160" w:line="259" w:lineRule="auto"/>
        <w:jc w:val="left"/>
      </w:pPr>
    </w:p>
    <w:p w:rsidR="007703A2" w:rsidP="00DF5956" w:rsidRDefault="007703A2" w14:paraId="24F486F8" w14:textId="3ABBFC94">
      <w:pPr>
        <w:pStyle w:val="Kop1"/>
        <w:numPr>
          <w:ilvl w:val="0"/>
          <w:numId w:val="6"/>
        </w:numPr>
      </w:pPr>
      <w:bookmarkStart w:name="_Toc160549719" w:id="14"/>
      <w:r>
        <w:t>Calendrier</w:t>
      </w:r>
      <w:bookmarkEnd w:id="14"/>
      <w:r>
        <w:t xml:space="preserve"> </w:t>
      </w:r>
    </w:p>
    <w:p w:rsidR="007703A2" w:rsidP="002707A8" w:rsidRDefault="007703A2" w14:paraId="53EAAA37" w14:textId="5B411E4A">
      <w:pPr>
        <w:spacing w:before="240"/>
      </w:pPr>
      <w:r w:rsidR="007703A2">
        <w:rPr/>
        <w:t xml:space="preserve">Une demande de subvention SP-PROGRAM doit être introduite au plus tard le </w:t>
      </w:r>
      <w:r w:rsidRPr="5E351399" w:rsidR="512856BB">
        <w:rPr>
          <w:b w:val="1"/>
          <w:bCs w:val="1"/>
          <w:u w:val="single"/>
        </w:rPr>
        <w:t>28</w:t>
      </w:r>
      <w:r w:rsidRPr="5E351399" w:rsidR="007703A2">
        <w:rPr>
          <w:b w:val="1"/>
          <w:bCs w:val="1"/>
          <w:u w:val="single"/>
        </w:rPr>
        <w:t xml:space="preserve"> février</w:t>
      </w:r>
      <w:r w:rsidR="007703A2">
        <w:rPr/>
        <w:t xml:space="preserve"> pour les activités prévues au cours de l'année scolaire suivante (à partir du 1</w:t>
      </w:r>
      <w:r w:rsidRPr="5E351399" w:rsidR="007703A2">
        <w:rPr>
          <w:vertAlign w:val="superscript"/>
        </w:rPr>
        <w:t>er</w:t>
      </w:r>
      <w:r w:rsidR="007703A2">
        <w:rPr/>
        <w:t xml:space="preserve"> septembre). </w:t>
      </w:r>
    </w:p>
    <w:p w:rsidR="001038EA" w:rsidP="5E351399" w:rsidRDefault="001038EA" w14:paraId="41269777" w14:textId="2BE361F3">
      <w:pPr>
        <w:pStyle w:val="Standaard"/>
        <w:suppressLineNumbers w:val="0"/>
        <w:pBdr>
          <w:top w:val="none" w:color="000000" w:sz="4" w:space="0"/>
          <w:left w:val="none" w:color="000000" w:sz="4" w:space="0"/>
          <w:bottom w:val="none" w:color="000000" w:sz="4" w:space="0"/>
          <w:right w:val="none" w:color="000000" w:sz="4" w:space="0"/>
          <w:between w:val="none" w:color="000000" w:sz="4" w:space="0"/>
        </w:pBdr>
        <w:bidi w:val="0"/>
        <w:spacing w:before="0" w:beforeAutospacing="off" w:after="200" w:afterAutospacing="off" w:line="276" w:lineRule="auto"/>
        <w:ind w:left="0" w:right="0"/>
        <w:jc w:val="both"/>
      </w:pPr>
      <w:r w:rsidR="001038EA">
        <w:rPr/>
        <w:t xml:space="preserve">Le guichet est ouvert toute l'année. Les projets peuvent être introduits tout au long de l'année. Une date butoir est toutefois fixée au </w:t>
      </w:r>
      <w:r w:rsidR="379E457E">
        <w:rPr/>
        <w:t>28</w:t>
      </w:r>
      <w:r w:rsidR="001038EA">
        <w:rPr/>
        <w:t xml:space="preserve"> février. Cela signifie que tous les projets introduits jusqu'à cette date incluse et relatifs à l'année scolaire suivante sont rassemblés à ce </w:t>
      </w:r>
      <w:r w:rsidR="001038EA">
        <w:rPr/>
        <w:t xml:space="preserve">moment</w:t>
      </w:r>
      <w:r w:rsidR="00C854A7">
        <w:noBreakHyphen/>
      </w:r>
      <w:r w:rsidR="001038EA">
        <w:rPr/>
        <w:t>là</w:t>
      </w:r>
      <w:r w:rsidR="001038EA">
        <w:rPr/>
        <w:t xml:space="preserve"> pour être évalués conjointement. Les projets introduits après cette date seront conservés jusqu'à la prochaine date butoir, un an plus tard. Par conséquent, si ces projets se rapportent à l'année civile suivante, ils ne pourront pas être évalués à temps.</w:t>
      </w:r>
    </w:p>
    <w:p w:rsidR="007703A2" w:rsidP="007703A2" w:rsidRDefault="00F034B7" w14:paraId="0C7419CB" w14:textId="5711FCA3">
      <w:pPr>
        <w:rPr>
          <w:bCs/>
        </w:rPr>
      </w:pPr>
      <w:r>
        <w:t>Le calendrier du SP-PROGRAM est le suivant :</w:t>
      </w:r>
    </w:p>
    <w:p w:rsidRPr="00191D7C" w:rsidR="007703A2" w:rsidP="007703A2" w:rsidRDefault="007703A2" w14:paraId="5D0E2888" w14:textId="5018A1DC">
      <w:pPr>
        <w:pStyle w:val="Lijstalinea"/>
        <w:numPr>
          <w:ilvl w:val="0"/>
          <w:numId w:val="13"/>
        </w:numPr>
        <w:rPr/>
      </w:pPr>
      <w:r w:rsidR="007703A2">
        <w:rPr/>
        <w:t xml:space="preserve">Introduction de propositions de projets : guichet ouvert jusqu'au </w:t>
      </w:r>
      <w:r w:rsidR="0313850D">
        <w:rPr/>
        <w:t>28</w:t>
      </w:r>
      <w:r w:rsidR="007703A2">
        <w:rPr/>
        <w:t xml:space="preserve"> février pour les programmes d'activités prévus au cours de l'année scolaire suivante</w:t>
      </w:r>
      <w:r w:rsidR="00C854A7">
        <w:rPr/>
        <w:t>.</w:t>
      </w:r>
    </w:p>
    <w:p w:rsidR="007703A2" w:rsidP="007703A2" w:rsidRDefault="007703A2" w14:paraId="0335D48F" w14:textId="6D8EF236">
      <w:pPr>
        <w:pStyle w:val="Lijstalinea"/>
        <w:numPr>
          <w:ilvl w:val="0"/>
          <w:numId w:val="12"/>
        </w:numPr>
        <w:rPr>
          <w:bCs/>
        </w:rPr>
      </w:pPr>
      <w:r>
        <w:t>Évaluation (externe) (et instruction) : avril-mai</w:t>
      </w:r>
      <w:r w:rsidR="00C854A7">
        <w:t>.</w:t>
      </w:r>
    </w:p>
    <w:p w:rsidR="007703A2" w:rsidP="007703A2" w:rsidRDefault="007703A2" w14:paraId="43281BAF" w14:textId="1FEF01BF">
      <w:pPr>
        <w:pStyle w:val="Lijstalinea"/>
        <w:numPr>
          <w:ilvl w:val="0"/>
          <w:numId w:val="12"/>
        </w:numPr>
        <w:rPr>
          <w:bCs/>
        </w:rPr>
      </w:pPr>
      <w:r>
        <w:t>Décision d'attribution par le ministre ou le gouvernement : au plus tard en juillet</w:t>
      </w:r>
      <w:r w:rsidR="00C854A7">
        <w:t>.</w:t>
      </w:r>
    </w:p>
    <w:p w:rsidR="007703A2" w:rsidP="007703A2" w:rsidRDefault="007703A2" w14:paraId="74BAE915" w14:textId="5B769B69">
      <w:pPr>
        <w:pStyle w:val="Lijstalinea"/>
        <w:numPr>
          <w:ilvl w:val="0"/>
          <w:numId w:val="12"/>
        </w:numPr>
        <w:rPr>
          <w:bCs/>
        </w:rPr>
      </w:pPr>
      <w:r>
        <w:t>Début des projets : entre le 1</w:t>
      </w:r>
      <w:r w:rsidRPr="00C854A7">
        <w:rPr>
          <w:vertAlign w:val="superscript"/>
        </w:rPr>
        <w:t>er</w:t>
      </w:r>
      <w:r>
        <w:t xml:space="preserve"> septembre et le 1</w:t>
      </w:r>
      <w:r w:rsidRPr="00C854A7">
        <w:rPr>
          <w:vertAlign w:val="superscript"/>
        </w:rPr>
        <w:t>er</w:t>
      </w:r>
      <w:r>
        <w:t xml:space="preserve"> juillet</w:t>
      </w:r>
      <w:r w:rsidR="00C854A7">
        <w:t>.</w:t>
      </w:r>
    </w:p>
    <w:p w:rsidRPr="007C66C6" w:rsidR="007C66C6" w:rsidP="007C66C6" w:rsidRDefault="007C66C6" w14:paraId="174E08A5" w14:textId="64425A9B">
      <w:pPr>
        <w:pStyle w:val="Lijstalinea"/>
        <w:numPr>
          <w:ilvl w:val="0"/>
          <w:numId w:val="12"/>
        </w:numPr>
        <w:rPr>
          <w:bCs/>
        </w:rPr>
      </w:pPr>
      <w:r>
        <w:t>Fin des projets : max. après 1 an</w:t>
      </w:r>
      <w:r w:rsidR="00C854A7">
        <w:t>.</w:t>
      </w:r>
    </w:p>
    <w:p w:rsidR="004444C9" w:rsidRDefault="004444C9" w14:paraId="549D3D98" w14:textId="6815EF3A">
      <w:pPr>
        <w:pBdr>
          <w:top w:val="none" w:color="auto" w:sz="0" w:space="0"/>
          <w:left w:val="none" w:color="auto" w:sz="0" w:space="0"/>
          <w:bottom w:val="none" w:color="auto" w:sz="0" w:space="0"/>
          <w:right w:val="none" w:color="auto" w:sz="0" w:space="0"/>
          <w:between w:val="none" w:color="auto" w:sz="0" w:space="0"/>
        </w:pBdr>
        <w:spacing w:after="160" w:line="259" w:lineRule="auto"/>
        <w:jc w:val="left"/>
        <w:rPr>
          <w:rFonts w:asciiTheme="majorHAnsi" w:hAnsiTheme="majorHAnsi" w:eastAsiaTheme="majorEastAsia" w:cstheme="majorBidi"/>
          <w:color w:val="2F5496" w:themeColor="accent1" w:themeShade="BF"/>
          <w:sz w:val="32"/>
          <w:szCs w:val="32"/>
        </w:rPr>
      </w:pPr>
    </w:p>
    <w:p w:rsidR="007C3987" w:rsidP="007C3987" w:rsidRDefault="007C3987" w14:paraId="2401ECF1" w14:textId="1D79617A">
      <w:pPr>
        <w:pStyle w:val="Kop1"/>
        <w:numPr>
          <w:ilvl w:val="0"/>
          <w:numId w:val="6"/>
        </w:numPr>
      </w:pPr>
      <w:bookmarkStart w:name="_Toc160549720" w:id="15"/>
      <w:r>
        <w:t>Formulaire de demande et annexes</w:t>
      </w:r>
      <w:bookmarkEnd w:id="15"/>
    </w:p>
    <w:p w:rsidR="007C3987" w:rsidP="002707A8" w:rsidRDefault="007C3987" w14:paraId="04C6BB15" w14:textId="70B610A0">
      <w:pPr>
        <w:spacing w:before="240"/>
        <w:rPr>
          <w:bCs/>
        </w:rPr>
      </w:pPr>
      <w:r>
        <w:t xml:space="preserve">Le formulaire de demande pour le SP-PROGRAM est disponible sur la </w:t>
      </w:r>
      <w:hyperlink w:history="1" r:id="rId9">
        <w:r>
          <w:rPr>
            <w:rStyle w:val="Hyperlink"/>
          </w:rPr>
          <w:t>page web</w:t>
        </w:r>
      </w:hyperlink>
      <w:r>
        <w:t xml:space="preserve"> du canal de subvention. Seuls les projets introduits au moyen de ce formulaire peuvent être évalués.</w:t>
      </w:r>
    </w:p>
    <w:p w:rsidR="007C3987" w:rsidP="007C3987" w:rsidRDefault="007C3987" w14:paraId="5703C99A" w14:textId="3B46B006">
      <w:r>
        <w:t>Le formulaire complété et signé doit être accompagné des informations financières suivantes</w:t>
      </w:r>
      <w:r w:rsidR="00C854A7">
        <w:t> </w:t>
      </w:r>
      <w:r>
        <w:t>:</w:t>
      </w:r>
    </w:p>
    <w:p w:rsidRPr="003770D5" w:rsidR="00EF0348" w:rsidP="003770D5" w:rsidRDefault="00EF0348" w14:paraId="1BC8B5BF" w14:textId="13A8C90E">
      <w:pPr>
        <w:pStyle w:val="Lijstalinea1"/>
        <w:numPr>
          <w:ilvl w:val="0"/>
          <w:numId w:val="2"/>
        </w:numPr>
        <w:spacing w:line="280" w:lineRule="auto"/>
        <w:jc w:val="both"/>
        <w:rPr>
          <w:sz w:val="24"/>
          <w:szCs w:val="24"/>
        </w:rPr>
      </w:pPr>
      <w:r>
        <w:rPr>
          <w:sz w:val="24"/>
        </w:rPr>
        <w:t xml:space="preserve">Budget prévisionnel du projet (modèle Excel disponible sur la </w:t>
      </w:r>
      <w:hyperlink w:history="1" r:id="rId10">
        <w:r>
          <w:rPr>
            <w:sz w:val="24"/>
          </w:rPr>
          <w:t>page web</w:t>
        </w:r>
      </w:hyperlink>
      <w:r>
        <w:rPr>
          <w:sz w:val="24"/>
        </w:rPr>
        <w:t>).</w:t>
      </w:r>
    </w:p>
    <w:p w:rsidRPr="003770D5" w:rsidR="00EF0348" w:rsidP="00D864C2" w:rsidRDefault="00EF0348" w14:paraId="7DF12159" w14:textId="2B7BF939">
      <w:pPr>
        <w:pStyle w:val="Lijstalinea1"/>
        <w:numPr>
          <w:ilvl w:val="0"/>
          <w:numId w:val="2"/>
        </w:numPr>
        <w:spacing w:after="0" w:line="280" w:lineRule="auto"/>
        <w:jc w:val="both"/>
        <w:rPr>
          <w:sz w:val="24"/>
          <w:szCs w:val="24"/>
        </w:rPr>
      </w:pPr>
      <w:r>
        <w:rPr>
          <w:sz w:val="24"/>
        </w:rPr>
        <w:t xml:space="preserve">Uniquement pour les acteurs économiques </w:t>
      </w:r>
      <w:r w:rsidR="006B2C19">
        <w:rPr>
          <w:sz w:val="24"/>
        </w:rPr>
        <w:t>(</w:t>
      </w:r>
      <w:proofErr w:type="spellStart"/>
      <w:r w:rsidR="006B2C19">
        <w:rPr>
          <w:sz w:val="24"/>
        </w:rPr>
        <w:t>asbl</w:t>
      </w:r>
      <w:proofErr w:type="spellEnd"/>
      <w:r w:rsidR="006B2C19">
        <w:rPr>
          <w:sz w:val="24"/>
        </w:rPr>
        <w:t xml:space="preserve"> et entreprises)</w:t>
      </w:r>
      <w:r>
        <w:rPr>
          <w:sz w:val="24"/>
        </w:rPr>
        <w:t xml:space="preserve">: </w:t>
      </w:r>
    </w:p>
    <w:p w:rsidR="00EF0348" w:rsidP="00EF0348" w:rsidRDefault="00EF0348" w14:paraId="26993FAE" w14:textId="4D35EC89">
      <w:pPr>
        <w:pStyle w:val="Lijstalinea"/>
        <w:numPr>
          <w:ilvl w:val="1"/>
          <w:numId w:val="15"/>
        </w:numPr>
      </w:pPr>
      <w:r>
        <w:t xml:space="preserve">Déclaration sur l'honneur de minimis complétée et signée (formulaire disponible sur la </w:t>
      </w:r>
      <w:hyperlink w:history="1" r:id="rId11">
        <w:r>
          <w:t>page web</w:t>
        </w:r>
      </w:hyperlink>
      <w:r>
        <w:t>).</w:t>
      </w:r>
    </w:p>
    <w:p w:rsidR="00EF0348" w:rsidP="00EF0348" w:rsidRDefault="00EF0348" w14:paraId="602CC2DC" w14:textId="21DB99B1">
      <w:pPr>
        <w:pStyle w:val="Lijstalinea"/>
        <w:numPr>
          <w:ilvl w:val="1"/>
          <w:numId w:val="15"/>
        </w:numPr>
      </w:pPr>
      <w:r>
        <w:t>Comptes annuels approuvés des 3 dernières années</w:t>
      </w:r>
      <w:r w:rsidR="00C854A7">
        <w:t>.</w:t>
      </w:r>
    </w:p>
    <w:p w:rsidR="00EF0348" w:rsidP="00EF0348" w:rsidRDefault="00EF0348" w14:paraId="303C6B28" w14:textId="77777777">
      <w:pPr>
        <w:pStyle w:val="Lijstalinea"/>
      </w:pPr>
      <w:r>
        <w:t>Pour les projets impliquant plusieurs partenaires, chaque partenaire économique qui demande un financement doit fournir ces documents.</w:t>
      </w:r>
    </w:p>
    <w:p w:rsidR="007C3987" w:rsidP="00F034B7" w:rsidRDefault="007C3987" w14:paraId="53FFD8F9" w14:textId="2509F263">
      <w:bookmarkStart w:name="_Hlk152710638" w:id="16"/>
      <w:r>
        <w:t xml:space="preserve">Le formulaire de demande et les annexes doivent être soumis par voie digitale en format </w:t>
      </w:r>
      <w:proofErr w:type="spellStart"/>
      <w:r>
        <w:t>pdf</w:t>
      </w:r>
      <w:proofErr w:type="spellEnd"/>
      <w:r>
        <w:t xml:space="preserve"> et do</w:t>
      </w:r>
      <w:r w:rsidR="001062BC">
        <w:t>n</w:t>
      </w:r>
      <w:r>
        <w:t xml:space="preserve">c à Innoviris à l'adresse électronique suivante : </w:t>
      </w:r>
      <w:hyperlink w:tooltip="mailto:funding-request@innoviris.brussels" w:history="1" r:id="rId12">
        <w:r>
          <w:rPr>
            <w:rStyle w:val="Hyperlink"/>
          </w:rPr>
          <w:t>funding-request@innoviris.brussels</w:t>
        </w:r>
      </w:hyperlink>
      <w:r>
        <w:t xml:space="preserve">. </w:t>
      </w:r>
    </w:p>
    <w:bookmarkEnd w:id="16"/>
    <w:p w:rsidR="007C3987" w:rsidP="007C3987" w:rsidRDefault="007C3987" w14:paraId="1933A991" w14:textId="77777777">
      <w:r>
        <w:t>En cas d‘impossibilité d'introduire le formulaire sous forme digitale, il peut être envoyé à Innoviris à l’adresse suivante :</w:t>
      </w:r>
    </w:p>
    <w:p w:rsidR="007C3987" w:rsidP="007C3987" w:rsidRDefault="007C3987" w14:paraId="6DFCE2BC" w14:textId="77777777">
      <w:pPr>
        <w:pStyle w:val="Lijstalinea1"/>
        <w:spacing w:after="0" w:line="280" w:lineRule="auto"/>
        <w:jc w:val="both"/>
      </w:pPr>
      <w:r>
        <w:rPr>
          <w:sz w:val="24"/>
        </w:rPr>
        <w:t xml:space="preserve">Innoviris - </w:t>
      </w:r>
      <w:r>
        <w:t>Service Promotion des sciences</w:t>
      </w:r>
    </w:p>
    <w:p w:rsidR="007C3987" w:rsidP="007C3987" w:rsidRDefault="007C3987" w14:paraId="199335F1" w14:textId="77777777">
      <w:pPr>
        <w:pStyle w:val="Lijstalinea"/>
        <w:spacing w:after="0" w:line="240" w:lineRule="auto"/>
        <w:rPr>
          <w:rFonts w:cs="Verdana"/>
        </w:rPr>
      </w:pPr>
      <w:r>
        <w:t>112 Chaussée de Charleroi</w:t>
      </w:r>
    </w:p>
    <w:p w:rsidR="007C3987" w:rsidP="007C3987" w:rsidRDefault="007C3987" w14:paraId="3F892AE7" w14:textId="77777777">
      <w:pPr>
        <w:pStyle w:val="Lijstalinea1"/>
        <w:spacing w:after="0" w:line="280" w:lineRule="auto"/>
        <w:jc w:val="both"/>
        <w:rPr>
          <w:sz w:val="24"/>
          <w:szCs w:val="24"/>
        </w:rPr>
      </w:pPr>
      <w:r>
        <w:rPr>
          <w:sz w:val="24"/>
        </w:rPr>
        <w:t>1060 Bruxelles</w:t>
      </w:r>
    </w:p>
    <w:p w:rsidR="007C3987" w:rsidP="007C3987" w:rsidRDefault="0058190E" w14:paraId="0C3FBD48" w14:textId="19137907">
      <w:pPr>
        <w:spacing w:before="240"/>
      </w:pPr>
      <w:r>
        <w:t>Ceux qui introduisent une demande recevront un accusé de réception dans les 5 jours.</w:t>
      </w:r>
    </w:p>
    <w:p w:rsidR="000F7FE3" w:rsidP="000F7FE3" w:rsidRDefault="000F7FE3" w14:paraId="7278831C" w14:textId="77777777">
      <w:pPr>
        <w:pBdr>
          <w:top w:val="none" w:color="auto" w:sz="0" w:space="0"/>
          <w:left w:val="none" w:color="auto" w:sz="0" w:space="0"/>
          <w:bottom w:val="none" w:color="auto" w:sz="0" w:space="0"/>
          <w:right w:val="none" w:color="auto" w:sz="0" w:space="0"/>
          <w:between w:val="none" w:color="auto" w:sz="0" w:space="0"/>
        </w:pBdr>
        <w:spacing w:after="160" w:line="259" w:lineRule="auto"/>
        <w:rPr>
          <w:b/>
          <w:color w:val="4046C1"/>
          <w:sz w:val="32"/>
          <w:szCs w:val="32"/>
        </w:rPr>
      </w:pPr>
    </w:p>
    <w:p w:rsidR="000F7FE3" w:rsidP="000F7FE3" w:rsidRDefault="000F7FE3" w14:paraId="144ABF56" w14:textId="77777777">
      <w:pPr>
        <w:pStyle w:val="Kop1"/>
        <w:numPr>
          <w:ilvl w:val="0"/>
          <w:numId w:val="6"/>
        </w:numPr>
      </w:pPr>
      <w:bookmarkStart w:name="_Toc160549721" w:id="17"/>
      <w:bookmarkStart w:name="_Hlk152710706" w:id="18"/>
      <w:r>
        <w:t>Critères de sélection</w:t>
      </w:r>
      <w:bookmarkEnd w:id="17"/>
    </w:p>
    <w:bookmarkEnd w:id="18"/>
    <w:p w:rsidR="000F7FE3" w:rsidP="000F7FE3" w:rsidRDefault="000F7FE3" w14:paraId="129B0AF4" w14:textId="2F1CFEBE">
      <w:pPr>
        <w:spacing w:before="240"/>
      </w:pPr>
      <w:r>
        <w:t xml:space="preserve">Le tableau ci-dessous décrit les critères de sélection que le jury utilisera pour évaluer chaque </w:t>
      </w:r>
      <w:r w:rsidR="009F4819">
        <w:t>demande</w:t>
      </w:r>
      <w:r>
        <w:t>. Innoviris s'engage à promouvoir l'intégration de l'égalité, de la diversité et de l'inclusion dans son fonctionnement. Par conséquent, des considérations relatives à l'égalité des chances ont été incluses dans les critères ci-dessous.</w:t>
      </w:r>
    </w:p>
    <w:p w:rsidR="000F7FE3" w:rsidP="000F7FE3" w:rsidRDefault="000F7FE3" w14:paraId="60FFFBC5" w14:textId="77777777"/>
    <w:p w:rsidR="009B2478" w:rsidP="009B2478" w:rsidRDefault="009B2478" w14:paraId="2BD50EB1" w14:textId="77777777">
      <w:pPr>
        <w:pStyle w:val="Kop2"/>
      </w:pPr>
      <w:bookmarkStart w:name="_Toc160549722" w:id="19"/>
      <w:bookmarkStart w:name="_Hlk151452075" w:id="20"/>
      <w:r>
        <w:t>Critère - Qualité de l'organisation (25 %)</w:t>
      </w:r>
      <w:bookmarkStart w:name="_Hlk152330110" w:id="21"/>
      <w:bookmarkEnd w:id="19"/>
    </w:p>
    <w:tbl>
      <w:tblPr>
        <w:tblStyle w:val="Tabelraster"/>
        <w:tblW w:w="0" w:type="auto"/>
        <w:tblLook w:val="04A0" w:firstRow="1" w:lastRow="0" w:firstColumn="1" w:lastColumn="0" w:noHBand="0" w:noVBand="1"/>
      </w:tblPr>
      <w:tblGrid>
        <w:gridCol w:w="4106"/>
        <w:gridCol w:w="4956"/>
      </w:tblGrid>
      <w:tr w:rsidR="009B2478" w:rsidTr="005521D1" w14:paraId="3DD48D0B" w14:textId="77777777">
        <w:tc>
          <w:tcPr>
            <w:tcW w:w="4106" w:type="dxa"/>
            <w:shd w:val="clear" w:color="auto" w:fill="D9E2F3" w:themeFill="accent1" w:themeFillTint="33"/>
          </w:tcPr>
          <w:p w:rsidR="009B2478" w:rsidP="005521D1" w:rsidRDefault="009B2478" w14:paraId="27A17218" w14:textId="77777777">
            <w:pPr>
              <w:pBdr>
                <w:top w:val="none" w:color="auto" w:sz="0" w:space="0"/>
                <w:left w:val="none" w:color="auto" w:sz="0" w:space="0"/>
                <w:bottom w:val="none" w:color="auto" w:sz="0" w:space="0"/>
                <w:right w:val="none" w:color="auto" w:sz="0" w:space="0"/>
                <w:between w:val="none" w:color="auto" w:sz="0" w:space="0"/>
              </w:pBdr>
            </w:pPr>
            <w:bookmarkStart w:name="_Hlk152330098" w:id="22"/>
            <w:r>
              <w:t>Indicateur</w:t>
            </w:r>
          </w:p>
        </w:tc>
        <w:tc>
          <w:tcPr>
            <w:tcW w:w="4956" w:type="dxa"/>
            <w:shd w:val="clear" w:color="auto" w:fill="D9E2F3" w:themeFill="accent1" w:themeFillTint="33"/>
          </w:tcPr>
          <w:p w:rsidR="009B2478" w:rsidP="005521D1" w:rsidRDefault="009B2478" w14:paraId="77A2DBBB" w14:textId="77777777">
            <w:pPr>
              <w:pBdr>
                <w:top w:val="none" w:color="auto" w:sz="0" w:space="0"/>
                <w:left w:val="none" w:color="auto" w:sz="0" w:space="0"/>
                <w:bottom w:val="none" w:color="auto" w:sz="0" w:space="0"/>
                <w:right w:val="none" w:color="auto" w:sz="0" w:space="0"/>
                <w:between w:val="none" w:color="auto" w:sz="0" w:space="0"/>
              </w:pBdr>
            </w:pPr>
            <w:r>
              <w:t>Preuve à fournir avec la demande</w:t>
            </w:r>
          </w:p>
        </w:tc>
      </w:tr>
      <w:tr w:rsidR="009B2478" w:rsidTr="005521D1" w14:paraId="74F657E1" w14:textId="77777777">
        <w:tc>
          <w:tcPr>
            <w:tcW w:w="4106" w:type="dxa"/>
          </w:tcPr>
          <w:p w:rsidR="009B2478" w:rsidP="005521D1" w:rsidRDefault="00E45133" w14:paraId="1E33BF6E" w14:textId="58A3D7BC">
            <w:pPr>
              <w:pBdr>
                <w:top w:val="none" w:color="auto" w:sz="0" w:space="0"/>
                <w:left w:val="none" w:color="auto" w:sz="0" w:space="0"/>
                <w:bottom w:val="none" w:color="auto" w:sz="0" w:space="0"/>
                <w:right w:val="none" w:color="auto" w:sz="0" w:space="0"/>
                <w:between w:val="none" w:color="auto" w:sz="0" w:space="0"/>
              </w:pBdr>
            </w:pPr>
            <w:r>
              <w:t>Expérience de l'équipe de projet</w:t>
            </w:r>
          </w:p>
        </w:tc>
        <w:tc>
          <w:tcPr>
            <w:tcW w:w="4956" w:type="dxa"/>
          </w:tcPr>
          <w:p w:rsidR="009B2478" w:rsidP="00EC6512" w:rsidRDefault="009B2478" w14:paraId="4243B009" w14:textId="77777777">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Contexte pertinent de l'organisation</w:t>
            </w:r>
          </w:p>
          <w:p w:rsidRPr="006E6431" w:rsidR="009B2478" w:rsidP="00EC6512" w:rsidRDefault="006A051E" w14:paraId="5834999F" w14:textId="69F9D71C">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Composition et expertise de l'équipe de projet</w:t>
            </w:r>
          </w:p>
        </w:tc>
      </w:tr>
      <w:tr w:rsidR="009B2478" w:rsidTr="005521D1" w14:paraId="796864FF" w14:textId="77777777">
        <w:tc>
          <w:tcPr>
            <w:tcW w:w="4106" w:type="dxa"/>
          </w:tcPr>
          <w:p w:rsidRPr="00C420BF" w:rsidR="009B2478" w:rsidP="005521D1" w:rsidRDefault="00E45133" w14:paraId="29963AE4" w14:textId="509B98F4">
            <w:pPr>
              <w:pBdr>
                <w:top w:val="none" w:color="auto" w:sz="0" w:space="0"/>
                <w:left w:val="none" w:color="auto" w:sz="0" w:space="0"/>
                <w:bottom w:val="none" w:color="auto" w:sz="0" w:space="0"/>
                <w:right w:val="none" w:color="auto" w:sz="0" w:space="0"/>
                <w:between w:val="none" w:color="auto" w:sz="0" w:space="0"/>
              </w:pBdr>
            </w:pPr>
            <w:r>
              <w:t>Potentiel de durabilité du programme (dans le temps)</w:t>
            </w:r>
          </w:p>
        </w:tc>
        <w:tc>
          <w:tcPr>
            <w:tcW w:w="4956" w:type="dxa"/>
          </w:tcPr>
          <w:p w:rsidR="009B2478" w:rsidP="00EC6512" w:rsidRDefault="009B2478" w14:paraId="035E02E4" w14:textId="6542028F">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Preuve du potentiel de durabilité de l'organisation</w:t>
            </w:r>
          </w:p>
          <w:p w:rsidRPr="00F229D3" w:rsidR="009B2478" w:rsidP="00EC6512" w:rsidRDefault="009B2478" w14:paraId="48A191EF" w14:textId="4169C64C">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Preuve du potentiel de durabilité du programme</w:t>
            </w:r>
          </w:p>
        </w:tc>
      </w:tr>
      <w:tr w:rsidR="00547E8E" w:rsidTr="00547E8E" w14:paraId="311586AA" w14:textId="77777777">
        <w:tc>
          <w:tcPr>
            <w:tcW w:w="4106" w:type="dxa"/>
          </w:tcPr>
          <w:p w:rsidR="00547E8E" w:rsidP="00D722C9" w:rsidRDefault="00547E8E" w14:paraId="55D4523F" w14:textId="77777777">
            <w:pPr>
              <w:pBdr>
                <w:top w:val="none" w:color="auto" w:sz="0" w:space="0"/>
                <w:left w:val="none" w:color="auto" w:sz="0" w:space="0"/>
                <w:bottom w:val="none" w:color="auto" w:sz="0" w:space="0"/>
                <w:right w:val="none" w:color="auto" w:sz="0" w:space="0"/>
                <w:between w:val="none" w:color="auto" w:sz="0" w:space="0"/>
              </w:pBdr>
            </w:pPr>
            <w:r>
              <w:t>Encadrement</w:t>
            </w:r>
          </w:p>
        </w:tc>
        <w:tc>
          <w:tcPr>
            <w:tcW w:w="4956" w:type="dxa"/>
          </w:tcPr>
          <w:p w:rsidR="00547E8E" w:rsidP="00547E8E" w:rsidRDefault="00547E8E" w14:paraId="4D641387" w14:textId="77777777">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291" w:hanging="219"/>
            </w:pPr>
            <w:r>
              <w:t>Encadrement technique et fonctionnel de qualité</w:t>
            </w:r>
          </w:p>
          <w:p w:rsidR="00547E8E" w:rsidP="00547E8E" w:rsidRDefault="00547E8E" w14:paraId="134DF750" w14:textId="77777777">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291" w:hanging="219"/>
            </w:pPr>
            <w:r>
              <w:t>Si d'application : qualité du partenariat</w:t>
            </w:r>
          </w:p>
        </w:tc>
      </w:tr>
      <w:tr w:rsidR="009B2478" w:rsidTr="005521D1" w14:paraId="0FDF062C" w14:textId="77777777">
        <w:tc>
          <w:tcPr>
            <w:tcW w:w="4106" w:type="dxa"/>
          </w:tcPr>
          <w:p w:rsidR="009B2478" w:rsidP="005521D1" w:rsidRDefault="00E45133" w14:paraId="34F78F69" w14:textId="424DE301">
            <w:pPr>
              <w:pBdr>
                <w:top w:val="none" w:color="auto" w:sz="0" w:space="0"/>
                <w:left w:val="none" w:color="auto" w:sz="0" w:space="0"/>
                <w:bottom w:val="none" w:color="auto" w:sz="0" w:space="0"/>
                <w:right w:val="none" w:color="auto" w:sz="0" w:space="0"/>
                <w:between w:val="none" w:color="auto" w:sz="0" w:space="0"/>
              </w:pBdr>
            </w:pPr>
            <w:r>
              <w:t xml:space="preserve">Budget </w:t>
            </w:r>
          </w:p>
        </w:tc>
        <w:tc>
          <w:tcPr>
            <w:tcW w:w="4956" w:type="dxa"/>
          </w:tcPr>
          <w:p w:rsidR="009B2478" w:rsidP="00EC6512" w:rsidRDefault="009B2478" w14:paraId="184583E4" w14:textId="30690A7B">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 xml:space="preserve">Budget réaliste et justification du budget </w:t>
            </w:r>
          </w:p>
          <w:p w:rsidRPr="00202289" w:rsidR="009B2478" w:rsidP="00EC6512" w:rsidRDefault="009B2478" w14:paraId="3DE18603" w14:textId="1E3711CB">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Capacité de lever des fonds supplémentaires en dehors du SP</w:t>
            </w:r>
            <w:r w:rsidR="00C854A7">
              <w:noBreakHyphen/>
            </w:r>
            <w:r>
              <w:t>PROGRAM</w:t>
            </w:r>
          </w:p>
        </w:tc>
      </w:tr>
      <w:bookmarkEnd w:id="20"/>
      <w:bookmarkEnd w:id="22"/>
    </w:tbl>
    <w:p w:rsidR="000F7FE3" w:rsidP="000F7FE3" w:rsidRDefault="000F7FE3" w14:paraId="04B7D896" w14:textId="77777777">
      <w:pPr>
        <w:spacing w:before="240"/>
      </w:pPr>
    </w:p>
    <w:p w:rsidR="000F7FE3" w:rsidP="000F7FE3" w:rsidRDefault="000F7FE3" w14:paraId="1BFCA5BF" w14:textId="314C16FF">
      <w:pPr>
        <w:pStyle w:val="Kop2"/>
      </w:pPr>
      <w:bookmarkStart w:name="_Toc160549723" w:id="23"/>
      <w:bookmarkStart w:name="_Hlk151452212" w:id="24"/>
      <w:bookmarkEnd w:id="21"/>
      <w:r>
        <w:t>Critère - Qualité du programme (25 %)</w:t>
      </w:r>
      <w:bookmarkEnd w:id="23"/>
    </w:p>
    <w:tbl>
      <w:tblPr>
        <w:tblStyle w:val="Tabelraster"/>
        <w:tblW w:w="0" w:type="auto"/>
        <w:tblLook w:val="04A0" w:firstRow="1" w:lastRow="0" w:firstColumn="1" w:lastColumn="0" w:noHBand="0" w:noVBand="1"/>
      </w:tblPr>
      <w:tblGrid>
        <w:gridCol w:w="4106"/>
        <w:gridCol w:w="4956"/>
      </w:tblGrid>
      <w:tr w:rsidR="000F7FE3" w:rsidTr="00574ADB" w14:paraId="254948D6" w14:textId="77777777">
        <w:tc>
          <w:tcPr>
            <w:tcW w:w="4106" w:type="dxa"/>
            <w:shd w:val="clear" w:color="auto" w:fill="D9E2F3" w:themeFill="accent1" w:themeFillTint="33"/>
          </w:tcPr>
          <w:p w:rsidR="000F7FE3" w:rsidP="00574ADB" w:rsidRDefault="000F7FE3" w14:paraId="466F4D27" w14:textId="77777777">
            <w:pPr>
              <w:pBdr>
                <w:top w:val="none" w:color="auto" w:sz="0" w:space="0"/>
                <w:left w:val="none" w:color="auto" w:sz="0" w:space="0"/>
                <w:bottom w:val="none" w:color="auto" w:sz="0" w:space="0"/>
                <w:right w:val="none" w:color="auto" w:sz="0" w:space="0"/>
                <w:between w:val="none" w:color="auto" w:sz="0" w:space="0"/>
              </w:pBdr>
            </w:pPr>
            <w:r>
              <w:t>Indicateur</w:t>
            </w:r>
          </w:p>
        </w:tc>
        <w:tc>
          <w:tcPr>
            <w:tcW w:w="4956" w:type="dxa"/>
            <w:shd w:val="clear" w:color="auto" w:fill="D9E2F3" w:themeFill="accent1" w:themeFillTint="33"/>
          </w:tcPr>
          <w:p w:rsidR="000F7FE3" w:rsidP="00574ADB" w:rsidRDefault="000F7FE3" w14:paraId="36EFB6EC" w14:textId="77777777">
            <w:pPr>
              <w:pBdr>
                <w:top w:val="none" w:color="auto" w:sz="0" w:space="0"/>
                <w:left w:val="none" w:color="auto" w:sz="0" w:space="0"/>
                <w:bottom w:val="none" w:color="auto" w:sz="0" w:space="0"/>
                <w:right w:val="none" w:color="auto" w:sz="0" w:space="0"/>
                <w:between w:val="none" w:color="auto" w:sz="0" w:space="0"/>
              </w:pBdr>
            </w:pPr>
            <w:r>
              <w:t>Preuve à fournir avec la demande</w:t>
            </w:r>
          </w:p>
        </w:tc>
      </w:tr>
      <w:tr w:rsidR="000F7FE3" w:rsidTr="00574ADB" w14:paraId="2619B400" w14:textId="77777777">
        <w:tc>
          <w:tcPr>
            <w:tcW w:w="4106" w:type="dxa"/>
          </w:tcPr>
          <w:p w:rsidR="000F7FE3" w:rsidP="00574ADB" w:rsidRDefault="00E45133" w14:paraId="077C1010" w14:textId="608A1D65">
            <w:pPr>
              <w:pBdr>
                <w:top w:val="none" w:color="auto" w:sz="0" w:space="0"/>
                <w:left w:val="none" w:color="auto" w:sz="0" w:space="0"/>
                <w:bottom w:val="none" w:color="auto" w:sz="0" w:space="0"/>
                <w:right w:val="none" w:color="auto" w:sz="0" w:space="0"/>
                <w:between w:val="none" w:color="auto" w:sz="0" w:space="0"/>
              </w:pBdr>
            </w:pPr>
            <w:r>
              <w:t>Pertinence du programme</w:t>
            </w:r>
          </w:p>
        </w:tc>
        <w:tc>
          <w:tcPr>
            <w:tcW w:w="4956" w:type="dxa"/>
          </w:tcPr>
          <w:p w:rsidR="00D056BE" w:rsidP="00EC6512" w:rsidRDefault="00D056BE" w14:paraId="05B0168C" w14:textId="77777777">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Démonstration de la nécessité du programme</w:t>
            </w:r>
          </w:p>
          <w:p w:rsidRPr="00D056BE" w:rsidR="000F7FE3" w:rsidP="00EC6512" w:rsidRDefault="00E45133" w14:paraId="6FB24BFA" w14:textId="74E8A16A">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Pertinence du programme par rapport aux objectifs</w:t>
            </w:r>
          </w:p>
        </w:tc>
      </w:tr>
      <w:tr w:rsidR="000F7FE3" w:rsidTr="00574ADB" w14:paraId="2020D216" w14:textId="77777777">
        <w:tc>
          <w:tcPr>
            <w:tcW w:w="4106" w:type="dxa"/>
          </w:tcPr>
          <w:p w:rsidR="000F7FE3" w:rsidP="00574ADB" w:rsidRDefault="00355D88" w14:paraId="431B3958" w14:textId="44BEB3DF">
            <w:pPr>
              <w:pBdr>
                <w:top w:val="none" w:color="auto" w:sz="0" w:space="0"/>
                <w:left w:val="none" w:color="auto" w:sz="0" w:space="0"/>
                <w:bottom w:val="none" w:color="auto" w:sz="0" w:space="0"/>
                <w:right w:val="none" w:color="auto" w:sz="0" w:space="0"/>
                <w:between w:val="none" w:color="auto" w:sz="0" w:space="0"/>
              </w:pBdr>
            </w:pPr>
            <w:r>
              <w:t>Qualité du contenu</w:t>
            </w:r>
          </w:p>
        </w:tc>
        <w:tc>
          <w:tcPr>
            <w:tcW w:w="4956" w:type="dxa"/>
          </w:tcPr>
          <w:p w:rsidR="009629B8" w:rsidP="00EC6512" w:rsidRDefault="009629B8" w14:paraId="17B82865" w14:textId="0B6237ED">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Preuve de la qualité scientifique</w:t>
            </w:r>
          </w:p>
          <w:p w:rsidRPr="00E45133" w:rsidR="00355D88" w:rsidP="00EC6512" w:rsidRDefault="00D056BE" w14:paraId="34579CA2" w14:textId="00727398">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Preuve d'originalité/créativité par rapport aux programmes existants</w:t>
            </w:r>
          </w:p>
        </w:tc>
      </w:tr>
      <w:tr w:rsidR="00355D88" w:rsidTr="00062B00" w14:paraId="1BD4C624" w14:textId="77777777">
        <w:tc>
          <w:tcPr>
            <w:tcW w:w="4106" w:type="dxa"/>
          </w:tcPr>
          <w:p w:rsidR="00355D88" w:rsidP="00062B00" w:rsidRDefault="00355D88" w14:paraId="3B81023C" w14:textId="04BE8F3D">
            <w:pPr>
              <w:pBdr>
                <w:top w:val="none" w:color="auto" w:sz="0" w:space="0"/>
                <w:left w:val="none" w:color="auto" w:sz="0" w:space="0"/>
                <w:bottom w:val="none" w:color="auto" w:sz="0" w:space="0"/>
                <w:right w:val="none" w:color="auto" w:sz="0" w:space="0"/>
                <w:between w:val="none" w:color="auto" w:sz="0" w:space="0"/>
              </w:pBdr>
            </w:pPr>
            <w:r>
              <w:t>Qualité de la méthode</w:t>
            </w:r>
          </w:p>
        </w:tc>
        <w:tc>
          <w:tcPr>
            <w:tcW w:w="4956" w:type="dxa"/>
          </w:tcPr>
          <w:p w:rsidR="005B2B65" w:rsidP="00EC6512" w:rsidRDefault="006E6431" w14:paraId="21FE8CE7" w14:textId="47102C72">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Pertinence de l'approche pédagogique par rapport au public cible</w:t>
            </w:r>
          </w:p>
          <w:p w:rsidRPr="00547E8E" w:rsidR="00355D88" w:rsidP="00547E8E" w:rsidRDefault="00355D88" w14:paraId="25DC9F37" w14:textId="582638A5">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Planification réaliste du travail</w:t>
            </w:r>
          </w:p>
        </w:tc>
      </w:tr>
    </w:tbl>
    <w:p w:rsidR="00362ADA" w:rsidP="00EA6F3A" w:rsidRDefault="00362ADA" w14:paraId="710ECC48" w14:textId="77777777">
      <w:pPr>
        <w:pStyle w:val="Kop2"/>
      </w:pPr>
      <w:bookmarkStart w:name="_Hlk151452263" w:id="25"/>
      <w:bookmarkEnd w:id="24"/>
    </w:p>
    <w:p w:rsidR="00EA6F3A" w:rsidP="00EA6F3A" w:rsidRDefault="00EA6F3A" w14:paraId="43D8F16A" w14:textId="22389DEA">
      <w:pPr>
        <w:pStyle w:val="Kop2"/>
      </w:pPr>
      <w:bookmarkStart w:name="_Toc160549724" w:id="26"/>
      <w:r>
        <w:t>Critère – Portée (25 %)</w:t>
      </w:r>
      <w:bookmarkEnd w:id="26"/>
    </w:p>
    <w:tbl>
      <w:tblPr>
        <w:tblStyle w:val="Tabelraster"/>
        <w:tblW w:w="0" w:type="auto"/>
        <w:tblLook w:val="04A0" w:firstRow="1" w:lastRow="0" w:firstColumn="1" w:lastColumn="0" w:noHBand="0" w:noVBand="1"/>
      </w:tblPr>
      <w:tblGrid>
        <w:gridCol w:w="4106"/>
        <w:gridCol w:w="4956"/>
      </w:tblGrid>
      <w:tr w:rsidR="00EA6F3A" w:rsidTr="005521D1" w14:paraId="22045419" w14:textId="77777777">
        <w:tc>
          <w:tcPr>
            <w:tcW w:w="4106" w:type="dxa"/>
            <w:shd w:val="clear" w:color="auto" w:fill="D9E2F3" w:themeFill="accent1" w:themeFillTint="33"/>
          </w:tcPr>
          <w:p w:rsidR="00EA6F3A" w:rsidP="005521D1" w:rsidRDefault="00EA6F3A" w14:paraId="74B249CB" w14:textId="77777777">
            <w:pPr>
              <w:pBdr>
                <w:top w:val="none" w:color="auto" w:sz="0" w:space="0"/>
                <w:left w:val="none" w:color="auto" w:sz="0" w:space="0"/>
                <w:bottom w:val="none" w:color="auto" w:sz="0" w:space="0"/>
                <w:right w:val="none" w:color="auto" w:sz="0" w:space="0"/>
                <w:between w:val="none" w:color="auto" w:sz="0" w:space="0"/>
              </w:pBdr>
            </w:pPr>
            <w:r>
              <w:t>Indicateur</w:t>
            </w:r>
          </w:p>
        </w:tc>
        <w:tc>
          <w:tcPr>
            <w:tcW w:w="4956" w:type="dxa"/>
            <w:shd w:val="clear" w:color="auto" w:fill="D9E2F3" w:themeFill="accent1" w:themeFillTint="33"/>
          </w:tcPr>
          <w:p w:rsidR="00EA6F3A" w:rsidP="005521D1" w:rsidRDefault="00EA6F3A" w14:paraId="76C5EC3A" w14:textId="77777777">
            <w:pPr>
              <w:pBdr>
                <w:top w:val="none" w:color="auto" w:sz="0" w:space="0"/>
                <w:left w:val="none" w:color="auto" w:sz="0" w:space="0"/>
                <w:bottom w:val="none" w:color="auto" w:sz="0" w:space="0"/>
                <w:right w:val="none" w:color="auto" w:sz="0" w:space="0"/>
                <w:between w:val="none" w:color="auto" w:sz="0" w:space="0"/>
              </w:pBdr>
            </w:pPr>
            <w:r>
              <w:t>Preuve à fournir avec la demande</w:t>
            </w:r>
          </w:p>
        </w:tc>
      </w:tr>
      <w:tr w:rsidR="006A051E" w:rsidTr="00676A6C" w14:paraId="242FDE55" w14:textId="77777777">
        <w:tc>
          <w:tcPr>
            <w:tcW w:w="4106" w:type="dxa"/>
          </w:tcPr>
          <w:p w:rsidR="006A051E" w:rsidP="00676A6C" w:rsidRDefault="00F52E4E" w14:paraId="0A0846F0" w14:textId="25E6CC8C">
            <w:pPr>
              <w:pBdr>
                <w:top w:val="none" w:color="auto" w:sz="0" w:space="0"/>
                <w:left w:val="none" w:color="auto" w:sz="0" w:space="0"/>
                <w:bottom w:val="none" w:color="auto" w:sz="0" w:space="0"/>
                <w:right w:val="none" w:color="auto" w:sz="0" w:space="0"/>
                <w:between w:val="none" w:color="auto" w:sz="0" w:space="0"/>
              </w:pBdr>
            </w:pPr>
            <w:bookmarkStart w:name="_Hlk152330320" w:id="27"/>
            <w:r>
              <w:t>Impact quantitatif et qualitatif</w:t>
            </w:r>
          </w:p>
        </w:tc>
        <w:tc>
          <w:tcPr>
            <w:tcW w:w="4956" w:type="dxa"/>
          </w:tcPr>
          <w:p w:rsidRPr="005B2B65" w:rsidR="005B2B65" w:rsidP="00EC6512" w:rsidRDefault="005B2B65" w14:paraId="52257A74" w14:textId="77777777">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Profil des participants (âge, sexe, origine, répartition géographique, etc.)</w:t>
            </w:r>
          </w:p>
          <w:p w:rsidR="00F52E4E" w:rsidP="00EC6512" w:rsidRDefault="006A051E" w14:paraId="1D16A4E0" w14:textId="77777777">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 xml:space="preserve">Nombre de participants atteints </w:t>
            </w:r>
          </w:p>
          <w:p w:rsidR="006A051E" w:rsidP="00EC6512" w:rsidRDefault="00F52E4E" w14:paraId="7A962A7E" w14:textId="4D57FEF6">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Nombre d'unités atteintes (1 unité =</w:t>
            </w:r>
            <w:r w:rsidR="00C854A7">
              <w:t xml:space="preserve"> 1 </w:t>
            </w:r>
            <w:r>
              <w:t xml:space="preserve">participant pendant </w:t>
            </w:r>
            <w:r w:rsidR="00547E8E">
              <w:t xml:space="preserve">2 </w:t>
            </w:r>
            <w:r>
              <w:t>heures)</w:t>
            </w:r>
          </w:p>
          <w:p w:rsidRPr="00F52E4E" w:rsidR="00F52E4E" w:rsidP="00EC6512" w:rsidRDefault="003223BE" w14:paraId="6DE924A6" w14:textId="43DD0839">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 xml:space="preserve">Si d'application : </w:t>
            </w:r>
            <w:r w:rsidR="00547E8E">
              <w:t xml:space="preserve">impact quantitatif et qualitatif </w:t>
            </w:r>
            <w:r>
              <w:t>des éditions précédentes ou d'initiatives similaires</w:t>
            </w:r>
          </w:p>
        </w:tc>
      </w:tr>
      <w:tr w:rsidR="00F52E4E" w:rsidTr="00D056BE" w14:paraId="2FBFE2CB" w14:textId="77777777">
        <w:tc>
          <w:tcPr>
            <w:tcW w:w="4106" w:type="dxa"/>
            <w:shd w:val="clear" w:color="auto" w:fill="auto"/>
          </w:tcPr>
          <w:p w:rsidR="00F52E4E" w:rsidP="005521D1" w:rsidRDefault="00F52E4E" w14:paraId="73B2AE0B" w14:textId="6BA834E9">
            <w:pPr>
              <w:pBdr>
                <w:top w:val="none" w:color="auto" w:sz="0" w:space="0"/>
                <w:left w:val="none" w:color="auto" w:sz="0" w:space="0"/>
                <w:bottom w:val="none" w:color="auto" w:sz="0" w:space="0"/>
                <w:right w:val="none" w:color="auto" w:sz="0" w:space="0"/>
                <w:between w:val="none" w:color="auto" w:sz="0" w:space="0"/>
              </w:pBdr>
            </w:pPr>
            <w:r>
              <w:t>Contact/connexion avec le public cible</w:t>
            </w:r>
          </w:p>
        </w:tc>
        <w:tc>
          <w:tcPr>
            <w:tcW w:w="4956" w:type="dxa"/>
            <w:shd w:val="clear" w:color="auto" w:fill="auto"/>
          </w:tcPr>
          <w:p w:rsidR="00F52E4E" w:rsidP="00EC6512" w:rsidRDefault="006E6431" w14:paraId="4F66ED06" w14:textId="1DF66365">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Expérience avec le groupe cible</w:t>
            </w:r>
          </w:p>
          <w:p w:rsidR="00F52E4E" w:rsidP="00EC6512" w:rsidRDefault="00F52E4E" w14:paraId="3A82180B" w14:textId="15ED792E">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Implication du groupe cible dans l'élaboration de la programmation</w:t>
            </w:r>
          </w:p>
          <w:p w:rsidRPr="00362ADA" w:rsidR="00362ADA" w:rsidP="00EC6512" w:rsidRDefault="00355D88" w14:paraId="28CBDBE7" w14:textId="42B32D22">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Stratégies de communication adaptées</w:t>
            </w:r>
          </w:p>
        </w:tc>
      </w:tr>
    </w:tbl>
    <w:p w:rsidR="00EA6F3A" w:rsidP="000F7FE3" w:rsidRDefault="00EA6F3A" w14:paraId="68B6B209" w14:textId="77777777">
      <w:bookmarkStart w:name="_Hlk152575371" w:id="28"/>
      <w:bookmarkEnd w:id="25"/>
      <w:bookmarkEnd w:id="27"/>
    </w:p>
    <w:p w:rsidR="000F7FE3" w:rsidP="000F7FE3" w:rsidRDefault="000F7FE3" w14:paraId="7721E0CC" w14:textId="1BB05ADC">
      <w:pPr>
        <w:pStyle w:val="Kop2"/>
      </w:pPr>
      <w:bookmarkStart w:name="_Toc160549725" w:id="29"/>
      <w:bookmarkStart w:name="_Hlk151452340" w:id="30"/>
      <w:r>
        <w:t>Critère - Impact à Bruxelles (25 %) *</w:t>
      </w:r>
      <w:bookmarkEnd w:id="29"/>
    </w:p>
    <w:tbl>
      <w:tblPr>
        <w:tblStyle w:val="Tabelraster"/>
        <w:tblW w:w="0" w:type="auto"/>
        <w:tblLook w:val="04A0" w:firstRow="1" w:lastRow="0" w:firstColumn="1" w:lastColumn="0" w:noHBand="0" w:noVBand="1"/>
      </w:tblPr>
      <w:tblGrid>
        <w:gridCol w:w="4106"/>
        <w:gridCol w:w="4956"/>
      </w:tblGrid>
      <w:tr w:rsidR="000F7FE3" w:rsidTr="00574ADB" w14:paraId="2D76417B" w14:textId="77777777">
        <w:tc>
          <w:tcPr>
            <w:tcW w:w="4106" w:type="dxa"/>
            <w:shd w:val="clear" w:color="auto" w:fill="D9E2F3" w:themeFill="accent1" w:themeFillTint="33"/>
          </w:tcPr>
          <w:bookmarkEnd w:id="30"/>
          <w:p w:rsidR="000F7FE3" w:rsidP="00574ADB" w:rsidRDefault="000F7FE3" w14:paraId="69B9F921" w14:textId="77777777">
            <w:pPr>
              <w:pBdr>
                <w:top w:val="none" w:color="auto" w:sz="0" w:space="0"/>
                <w:left w:val="none" w:color="auto" w:sz="0" w:space="0"/>
                <w:bottom w:val="none" w:color="auto" w:sz="0" w:space="0"/>
                <w:right w:val="none" w:color="auto" w:sz="0" w:space="0"/>
                <w:between w:val="none" w:color="auto" w:sz="0" w:space="0"/>
              </w:pBdr>
            </w:pPr>
            <w:r>
              <w:t>Indicateur</w:t>
            </w:r>
          </w:p>
        </w:tc>
        <w:tc>
          <w:tcPr>
            <w:tcW w:w="4956" w:type="dxa"/>
            <w:shd w:val="clear" w:color="auto" w:fill="D9E2F3" w:themeFill="accent1" w:themeFillTint="33"/>
          </w:tcPr>
          <w:p w:rsidR="000F7FE3" w:rsidP="00574ADB" w:rsidRDefault="000F7FE3" w14:paraId="1E974D1E" w14:textId="77777777">
            <w:pPr>
              <w:pBdr>
                <w:top w:val="none" w:color="auto" w:sz="0" w:space="0"/>
                <w:left w:val="none" w:color="auto" w:sz="0" w:space="0"/>
                <w:bottom w:val="none" w:color="auto" w:sz="0" w:space="0"/>
                <w:right w:val="none" w:color="auto" w:sz="0" w:space="0"/>
                <w:between w:val="none" w:color="auto" w:sz="0" w:space="0"/>
              </w:pBdr>
            </w:pPr>
            <w:r>
              <w:t>Preuve à fournir avec la demande</w:t>
            </w:r>
          </w:p>
        </w:tc>
      </w:tr>
      <w:tr w:rsidRPr="00453919" w:rsidR="000F7FE3" w:rsidTr="00574ADB" w14:paraId="6B62DA33" w14:textId="77777777">
        <w:tc>
          <w:tcPr>
            <w:tcW w:w="4106" w:type="dxa"/>
          </w:tcPr>
          <w:p w:rsidR="000F7FE3" w:rsidP="00574ADB" w:rsidRDefault="000F7FE3" w14:paraId="28B92FEB" w14:textId="77777777">
            <w:pPr>
              <w:pBdr>
                <w:top w:val="none" w:color="auto" w:sz="0" w:space="0"/>
                <w:left w:val="none" w:color="auto" w:sz="0" w:space="0"/>
                <w:bottom w:val="none" w:color="auto" w:sz="0" w:space="0"/>
                <w:right w:val="none" w:color="auto" w:sz="0" w:space="0"/>
                <w:between w:val="none" w:color="auto" w:sz="0" w:space="0"/>
              </w:pBdr>
            </w:pPr>
            <w:r>
              <w:t>Impact sociétal</w:t>
            </w:r>
          </w:p>
        </w:tc>
        <w:tc>
          <w:tcPr>
            <w:tcW w:w="4956" w:type="dxa"/>
          </w:tcPr>
          <w:p w:rsidR="002B4BD6" w:rsidP="00EC6512" w:rsidRDefault="006E6431" w14:paraId="75DD62BA" w14:textId="18AF88FB">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Objectifs du projet</w:t>
            </w:r>
          </w:p>
          <w:p w:rsidRPr="002B4BD6" w:rsidR="000D6B96" w:rsidP="00EC6512" w:rsidRDefault="002B4BD6" w14:paraId="341D8422" w14:textId="6F58136F">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Stratégies pour une programmation générale inclusive ou ciblée</w:t>
            </w:r>
          </w:p>
        </w:tc>
      </w:tr>
      <w:tr w:rsidRPr="00453919" w:rsidR="000F7FE3" w:rsidTr="00574ADB" w14:paraId="14E6CB78" w14:textId="77777777">
        <w:tc>
          <w:tcPr>
            <w:tcW w:w="4106" w:type="dxa"/>
          </w:tcPr>
          <w:p w:rsidR="000F7FE3" w:rsidP="00574ADB" w:rsidRDefault="000F7FE3" w14:paraId="4A59CC2A" w14:textId="7EDAF75D">
            <w:pPr>
              <w:pBdr>
                <w:top w:val="none" w:color="auto" w:sz="0" w:space="0"/>
                <w:left w:val="none" w:color="auto" w:sz="0" w:space="0"/>
                <w:bottom w:val="none" w:color="auto" w:sz="0" w:space="0"/>
                <w:right w:val="none" w:color="auto" w:sz="0" w:space="0"/>
                <w:between w:val="none" w:color="auto" w:sz="0" w:space="0"/>
              </w:pBdr>
            </w:pPr>
            <w:r>
              <w:t>Impact écologique</w:t>
            </w:r>
          </w:p>
        </w:tc>
        <w:tc>
          <w:tcPr>
            <w:tcW w:w="4956" w:type="dxa"/>
          </w:tcPr>
          <w:p w:rsidR="002B4BD6" w:rsidP="00EC6512" w:rsidRDefault="00362ADA" w14:paraId="09241AA7" w14:textId="638C7AC0">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Stratégies de développement durable utilisées pendant l'organisation des activités</w:t>
            </w:r>
          </w:p>
          <w:p w:rsidRPr="00770756" w:rsidR="000F7FE3" w:rsidP="00EC6512" w:rsidRDefault="000F7FE3" w14:paraId="2397E2DC" w14:textId="7199ED03">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Thèmes de développement durable traités pendant les activités</w:t>
            </w:r>
          </w:p>
        </w:tc>
      </w:tr>
      <w:tr w:rsidRPr="00453919" w:rsidR="000F7FE3" w:rsidTr="00574ADB" w14:paraId="0A623503" w14:textId="77777777">
        <w:tc>
          <w:tcPr>
            <w:tcW w:w="4106" w:type="dxa"/>
          </w:tcPr>
          <w:p w:rsidR="000F7FE3" w:rsidP="00574ADB" w:rsidRDefault="000F7FE3" w14:paraId="75188140" w14:textId="40DF4171">
            <w:pPr>
              <w:pBdr>
                <w:top w:val="none" w:color="auto" w:sz="0" w:space="0"/>
                <w:left w:val="none" w:color="auto" w:sz="0" w:space="0"/>
                <w:bottom w:val="none" w:color="auto" w:sz="0" w:space="0"/>
                <w:right w:val="none" w:color="auto" w:sz="0" w:space="0"/>
                <w:between w:val="none" w:color="auto" w:sz="0" w:space="0"/>
              </w:pBdr>
            </w:pPr>
            <w:r>
              <w:t xml:space="preserve">Impact sur l'écosystème </w:t>
            </w:r>
            <w:r w:rsidR="00C854A7">
              <w:t>b</w:t>
            </w:r>
            <w:r>
              <w:t>ruxellois</w:t>
            </w:r>
          </w:p>
        </w:tc>
        <w:tc>
          <w:tcPr>
            <w:tcW w:w="4956" w:type="dxa"/>
          </w:tcPr>
          <w:p w:rsidR="002B4BD6" w:rsidP="00EC6512" w:rsidRDefault="00355D88" w14:paraId="09FF422C" w14:textId="55581DDE">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Collaboration et mise en réseau avec l'écosystème local par le biais de partenariats</w:t>
            </w:r>
          </w:p>
          <w:p w:rsidRPr="002B4BD6" w:rsidR="000F7FE3" w:rsidP="00EC6512" w:rsidRDefault="002B4BD6" w14:paraId="1E003E49" w14:textId="273B2847">
            <w:pPr>
              <w:pStyle w:val="Lijstalinea"/>
              <w:numPr>
                <w:ilvl w:val="0"/>
                <w:numId w:val="15"/>
              </w:numPr>
              <w:pBdr>
                <w:top w:val="none" w:color="auto" w:sz="0" w:space="0"/>
                <w:left w:val="none" w:color="auto" w:sz="0" w:space="0"/>
                <w:bottom w:val="none" w:color="auto" w:sz="0" w:space="0"/>
                <w:right w:val="none" w:color="auto" w:sz="0" w:space="0"/>
                <w:between w:val="none" w:color="auto" w:sz="0" w:space="0"/>
              </w:pBdr>
              <w:ind w:left="458"/>
            </w:pPr>
            <w:r>
              <w:t>Le programme s'appuie et s'inspire des spécificités bruxelloises.</w:t>
            </w:r>
          </w:p>
        </w:tc>
      </w:tr>
    </w:tbl>
    <w:p w:rsidR="00C92291" w:rsidP="00C92291" w:rsidRDefault="00C92291" w14:paraId="6B55B85A" w14:textId="2A2EFF2F">
      <w:bookmarkStart w:name="_Hlk152711156" w:id="31"/>
      <w:r>
        <w:t>*Les projets ayant un impact négatif sur un de ces critères d'impact ne seront pas financés.</w:t>
      </w:r>
    </w:p>
    <w:p w:rsidR="00F27ED9" w:rsidP="00F27ED9" w:rsidRDefault="00F27ED9" w14:paraId="57C26385" w14:textId="77777777">
      <w:pPr>
        <w:pStyle w:val="Kop1"/>
        <w:numPr>
          <w:ilvl w:val="0"/>
          <w:numId w:val="6"/>
        </w:numPr>
      </w:pPr>
      <w:bookmarkStart w:name="_Toc160549726" w:id="32"/>
      <w:bookmarkEnd w:id="28"/>
      <w:bookmarkEnd w:id="31"/>
      <w:r>
        <w:t>Montant et taux de financement</w:t>
      </w:r>
      <w:bookmarkEnd w:id="32"/>
    </w:p>
    <w:p w:rsidR="003431BC" w:rsidP="003431BC" w:rsidRDefault="005204E7" w14:paraId="30BFB258" w14:textId="2EE76639">
      <w:pPr>
        <w:spacing w:before="240"/>
      </w:pPr>
      <w:r>
        <w:rPr>
          <w:b/>
        </w:rPr>
        <w:t>Le SP-PROGRAM intervient pour un maximum de 80 % du coût total d'un projet.</w:t>
      </w:r>
      <w:r>
        <w:t xml:space="preserve"> En d'autres termes, en plus de l'aide d'Innoviris, les organisations sont encouragées à rechercher un financement supplémentaire en dehors d'Innoviris pour leur programme, soit via leurs propres ressources, soit via le parrainage ou d'autres subventions régionales, fédérales ou </w:t>
      </w:r>
      <w:r>
        <w:t xml:space="preserve">européennes (voir les critères de sélection). Ce faisant, il est important de démontrer qu'il n'y a pas de chevauchement avec les coûts facturés à Innoviris. </w:t>
      </w:r>
    </w:p>
    <w:p w:rsidR="00F27ED9" w:rsidP="00F27ED9" w:rsidRDefault="00F27ED9" w14:paraId="5770BEDB" w14:textId="06F4AC30">
      <w:pPr>
        <w:spacing w:before="240"/>
      </w:pPr>
      <w:r>
        <w:t>Le financement SP-PROGRAM permet de prendre en charge les coûts énumérés ci-dessous :</w:t>
      </w:r>
    </w:p>
    <w:p w:rsidR="00F27ED9" w:rsidP="00F27ED9" w:rsidRDefault="00F27ED9" w14:paraId="1B56B3B9" w14:textId="77777777">
      <w:pPr>
        <w:spacing w:after="0"/>
        <w:ind w:left="709" w:hanging="425"/>
      </w:pPr>
      <w:r>
        <w:t>•</w:t>
      </w:r>
      <w:r>
        <w:tab/>
      </w:r>
      <w:r>
        <w:t>les salaires du personnel.</w:t>
      </w:r>
    </w:p>
    <w:p w:rsidR="00F27ED9" w:rsidP="00F27ED9" w:rsidRDefault="00F27ED9" w14:paraId="683983B7" w14:textId="77777777">
      <w:pPr>
        <w:spacing w:after="0"/>
        <w:ind w:left="709" w:hanging="425"/>
      </w:pPr>
      <w:r>
        <w:t>•</w:t>
      </w:r>
      <w:r>
        <w:tab/>
      </w:r>
      <w:r>
        <w:t>les frais de fonctionnement directement liés à l’exécution du projet.</w:t>
      </w:r>
    </w:p>
    <w:p w:rsidR="00F27ED9" w:rsidP="00F27ED9" w:rsidRDefault="00F27ED9" w14:paraId="017EF693" w14:textId="77777777">
      <w:pPr>
        <w:spacing w:after="0"/>
        <w:ind w:left="709" w:hanging="425"/>
      </w:pPr>
      <w:r>
        <w:t>•</w:t>
      </w:r>
      <w:r>
        <w:tab/>
      </w:r>
      <w:r>
        <w:t>les frais indirects (maximum 10 % des frais de personnel et des frais de fonctionnement).</w:t>
      </w:r>
    </w:p>
    <w:p w:rsidR="00F27ED9" w:rsidP="00F27ED9" w:rsidRDefault="00F27ED9" w14:paraId="7EC618E0" w14:textId="2C584623">
      <w:pPr>
        <w:ind w:left="709" w:hanging="425"/>
      </w:pPr>
      <w:r>
        <w:t>•</w:t>
      </w:r>
      <w:r>
        <w:tab/>
      </w:r>
      <w:r>
        <w:t>l'amortissement des frais d’investissement</w:t>
      </w:r>
      <w:r w:rsidR="00C854A7">
        <w:t>.</w:t>
      </w:r>
    </w:p>
    <w:p w:rsidRPr="001272A6" w:rsidR="00F27ED9" w:rsidP="00F27ED9" w:rsidRDefault="00F27ED9" w14:paraId="10B5416A" w14:textId="791B0535">
      <w:pPr>
        <w:pBdr>
          <w:top w:val="none" w:color="auto" w:sz="0" w:space="0"/>
          <w:left w:val="none" w:color="auto" w:sz="0" w:space="0"/>
          <w:bottom w:val="none" w:color="auto" w:sz="0" w:space="0"/>
          <w:right w:val="none" w:color="auto" w:sz="0" w:space="0"/>
          <w:between w:val="none" w:color="auto" w:sz="0" w:space="0"/>
        </w:pBdr>
        <w:spacing w:after="160" w:line="259" w:lineRule="auto"/>
      </w:pPr>
      <w:r>
        <w:t xml:space="preserve">Les coûts éligibles sont décrits plus en détail dans le document </w:t>
      </w:r>
      <w:r w:rsidRPr="00B801B1" w:rsidR="00547E8E">
        <w:t>« </w:t>
      </w:r>
      <w:hyperlink w:history="1" r:id="rId13">
        <w:r w:rsidRPr="0094290D" w:rsidR="00547E8E">
          <w:rPr>
            <w:rStyle w:val="Hyperlink"/>
          </w:rPr>
          <w:t>Directives comptables</w:t>
        </w:r>
      </w:hyperlink>
      <w:r w:rsidRPr="00B801B1" w:rsidR="00547E8E">
        <w:t> »</w:t>
      </w:r>
      <w:r>
        <w:t xml:space="preserve"> sur le site web. </w:t>
      </w:r>
    </w:p>
    <w:p w:rsidR="00813DA5" w:rsidP="00813DA5" w:rsidRDefault="00813DA5" w14:paraId="6C94C110" w14:textId="6E30BFFD">
      <w:pPr>
        <w:spacing w:before="240"/>
      </w:pPr>
      <w:bookmarkStart w:name="_Hlk152575683" w:id="33"/>
      <w:r>
        <w:t>Aucun montant maximal n'est imposé par rapport aux frais de fonctionnement et de personnel pouvant être demandés dans le cadre d'un projet SP-PROGRAM</w:t>
      </w:r>
      <w:bookmarkStart w:name="_Hlk152711213" w:id="34"/>
      <w:r w:rsidR="00C854A7">
        <w:t>.</w:t>
      </w:r>
      <w:r>
        <w:t xml:space="preserve"> </w:t>
      </w:r>
      <w:bookmarkEnd w:id="34"/>
      <w:r>
        <w:t xml:space="preserve">Un budget réaliste et la justification des dépenses du projet font </w:t>
      </w:r>
      <w:r w:rsidR="00D83028">
        <w:t>néanmoins</w:t>
      </w:r>
      <w:r>
        <w:t xml:space="preserve"> partie des critères de sélection. Il existe également un plafond de financement pour l'ensemble des projets qui peuvent être introduits dans le cadre de ce canal de subvention. La note obtenue par le projet sur la base des critères de sélection, son classement dans l'ensemble des projets</w:t>
      </w:r>
      <w:r w:rsidR="00EB2CEF">
        <w:rPr>
          <w:rStyle w:val="Voetnootmarkering"/>
        </w:rPr>
        <w:footnoteReference w:id="2"/>
      </w:r>
      <w:r w:rsidR="000865E3">
        <w:t xml:space="preserve"> </w:t>
      </w:r>
      <w:r>
        <w:t xml:space="preserve">et le budget disponible déterminent si le projet sera ou ne sera pas financé. </w:t>
      </w:r>
    </w:p>
    <w:p w:rsidR="0061533F" w:rsidP="0061533F" w:rsidRDefault="0061533F" w14:paraId="02E364C0" w14:textId="548F6229">
      <w:bookmarkStart w:name="_Hlk152711443" w:id="35"/>
      <w:r>
        <w:t xml:space="preserve">Si l'aide est accordée dans le cadre de cet appel relève de l'aide de minimis (tous les acteurs sauf les organismes de recherche, voir 3. Éligibilité), il incombe au demandeur de vérifier qu'avec l'aide de minimis demandé à </w:t>
      </w:r>
      <w:r w:rsidR="00482D48">
        <w:t>Innoviris</w:t>
      </w:r>
      <w:r>
        <w:t>, l'organisation ne dépassera pas le seuil de minimis de 300 000 euros sur 3 ans au sein de l'organisation.</w:t>
      </w:r>
    </w:p>
    <w:bookmarkEnd w:id="33"/>
    <w:bookmarkEnd w:id="35"/>
    <w:p w:rsidR="00F27ED9" w:rsidP="00F27ED9" w:rsidRDefault="00F27ED9" w14:paraId="22A92C15" w14:textId="52F3FBB2">
      <w:r>
        <w:t>Nous recommandons d'étudier attentivement les directives comptables lors de la préparation du budget. Toutes les dépenses doivent être attestées par des pièces justificatives et être approuvées par Innoviris. Un arrêté et une convention de subvention précisent les conditions de paiement.</w:t>
      </w:r>
    </w:p>
    <w:p w:rsidR="00656D1C" w:rsidP="00656D1C" w:rsidRDefault="00656D1C" w14:paraId="65DE548E" w14:textId="77777777"/>
    <w:p w:rsidR="00656D1C" w:rsidP="00656D1C" w:rsidRDefault="00656D1C" w14:paraId="1D5EBB02" w14:textId="77777777">
      <w:pPr>
        <w:pStyle w:val="Kop1"/>
        <w:numPr>
          <w:ilvl w:val="0"/>
          <w:numId w:val="6"/>
        </w:numPr>
      </w:pPr>
      <w:bookmarkStart w:name="_Toc160549727" w:id="36"/>
      <w:r>
        <w:t>Conventions et arrêtés</w:t>
      </w:r>
      <w:bookmarkEnd w:id="36"/>
    </w:p>
    <w:p w:rsidR="00656D1C" w:rsidP="00656D1C" w:rsidRDefault="00656D1C" w14:paraId="5638F306" w14:textId="2BAD01D0">
      <w:pPr>
        <w:spacing w:before="240"/>
      </w:pPr>
      <w:r>
        <w:t xml:space="preserve">Les projets sélectionnés recevront d'Innoviris une convention pour signature. Étant donné qu'Innoviris privilégie le digital, la convention et l'arrêté seront donc envoyés via </w:t>
      </w:r>
      <w:proofErr w:type="spellStart"/>
      <w:r>
        <w:t>SignHere</w:t>
      </w:r>
      <w:proofErr w:type="spellEnd"/>
      <w:r>
        <w:t xml:space="preserve"> à l'adresse électronique fournie par le demandeur dans le formulaire de demande. Il est donc important de fournir une adresse consultée régulièrement. </w:t>
      </w:r>
    </w:p>
    <w:p w:rsidRPr="00C27B2C" w:rsidR="00656D1C" w:rsidP="00656D1C" w:rsidRDefault="00656D1C" w14:paraId="61D008F7" w14:textId="77777777">
      <w:proofErr w:type="spellStart"/>
      <w:r>
        <w:t>SignHere</w:t>
      </w:r>
      <w:proofErr w:type="spellEnd"/>
      <w:r>
        <w:t xml:space="preserve"> est un système de signature électronique reconnu au niveau européen par EIDAS et la référence dans le domaine des signatures électroniques. Le système est configuré de manière à pouvoir choisir entre :</w:t>
      </w:r>
    </w:p>
    <w:p w:rsidRPr="007705A0" w:rsidR="00656D1C" w:rsidP="00656D1C" w:rsidRDefault="00482D48" w14:paraId="04F4D921" w14:textId="23DBD180">
      <w:pPr>
        <w:pStyle w:val="Lijstalinea"/>
        <w:numPr>
          <w:ilvl w:val="0"/>
          <w:numId w:val="16"/>
        </w:numPr>
        <w:spacing w:after="0"/>
      </w:pPr>
      <w:r>
        <w:t>Une</w:t>
      </w:r>
      <w:r w:rsidR="00656D1C">
        <w:t xml:space="preserve"> signature avec un code de validation reçu par e-mail</w:t>
      </w:r>
      <w:r w:rsidR="00C854A7">
        <w:t>.</w:t>
      </w:r>
    </w:p>
    <w:p w:rsidRPr="007705A0" w:rsidR="00656D1C" w:rsidP="00656D1C" w:rsidRDefault="00482D48" w14:paraId="403A81F5" w14:textId="15107075">
      <w:pPr>
        <w:pStyle w:val="Lijstalinea"/>
        <w:numPr>
          <w:ilvl w:val="0"/>
          <w:numId w:val="16"/>
        </w:numPr>
        <w:spacing w:after="0"/>
      </w:pPr>
      <w:r>
        <w:t>Une</w:t>
      </w:r>
      <w:r w:rsidR="00656D1C">
        <w:t xml:space="preserve"> signature avec l'application </w:t>
      </w:r>
      <w:proofErr w:type="spellStart"/>
      <w:r w:rsidR="00656D1C">
        <w:t>Itsme</w:t>
      </w:r>
      <w:proofErr w:type="spellEnd"/>
      <w:r w:rsidR="00656D1C">
        <w:t>.</w:t>
      </w:r>
    </w:p>
    <w:p w:rsidRPr="007705A0" w:rsidR="00656D1C" w:rsidP="00656D1C" w:rsidRDefault="00482D48" w14:paraId="1F986BF9" w14:textId="2D121EAB">
      <w:pPr>
        <w:pStyle w:val="Lijstalinea"/>
        <w:numPr>
          <w:ilvl w:val="0"/>
          <w:numId w:val="16"/>
        </w:numPr>
        <w:spacing w:after="0"/>
      </w:pPr>
      <w:r>
        <w:t>Une</w:t>
      </w:r>
      <w:r w:rsidR="00656D1C">
        <w:t xml:space="preserve"> signature avec un lecteur de carte </w:t>
      </w:r>
      <w:proofErr w:type="spellStart"/>
      <w:r w:rsidR="00656D1C">
        <w:t>eID</w:t>
      </w:r>
      <w:proofErr w:type="spellEnd"/>
      <w:r w:rsidR="00656D1C">
        <w:t>.</w:t>
      </w:r>
    </w:p>
    <w:p w:rsidRPr="00C27B2C" w:rsidR="00656D1C" w:rsidP="00656D1C" w:rsidRDefault="00656D1C" w14:paraId="3572EC60" w14:textId="533C3524">
      <w:r>
        <w:t xml:space="preserve">Si le destinataire de l'e-mail contenant la convention ne peut pas signer lui-même le document, la signature peut très facilement être attribuée à une personne habilitée. </w:t>
      </w:r>
    </w:p>
    <w:p w:rsidRPr="00C27B2C" w:rsidR="00656D1C" w:rsidP="00656D1C" w:rsidRDefault="00656D1C" w14:paraId="14E2EC34" w14:textId="77777777">
      <w:r>
        <w:t>Si nécessaire, Innoviris peut aussi ajouter l'</w:t>
      </w:r>
      <w:r w:rsidRPr="00C27B2C">
        <w:rPr>
          <w:u w:val="single"/>
        </w:rPr>
        <w:t>adresse e-mail</w:t>
      </w:r>
      <w:r>
        <w:t xml:space="preserve"> d'un destinataire. Ce destinataire ne peut pas modifier le document, mais il peut le télécharger et recevra une notification lorsque toutes les parties auront signé le document.</w:t>
      </w:r>
    </w:p>
    <w:p w:rsidRPr="00C27B2C" w:rsidR="00656D1C" w:rsidP="00656D1C" w:rsidRDefault="00656D1C" w14:paraId="608C4BC0" w14:textId="77777777">
      <w:r>
        <w:t xml:space="preserve">Pour des raisons de sécurité, les liens ne peuvent pas être transférés et expirent après ouverture. Si nécessaire, un nouveau lien peut être envoyé sur demande. </w:t>
      </w:r>
    </w:p>
    <w:p w:rsidR="00656D1C" w:rsidP="00656D1C" w:rsidRDefault="00656D1C" w14:paraId="0142DBD2" w14:textId="3150A73E">
      <w:r>
        <w:t>Afin de garantir un traitement rapide de la demande, les bénéficiaires disposent de deux semaines (</w:t>
      </w:r>
      <w:r w:rsidRPr="00C27B2C">
        <w:rPr>
          <w:b/>
          <w:bCs/>
        </w:rPr>
        <w:t>maximum</w:t>
      </w:r>
      <w:r>
        <w:t xml:space="preserve">) pendant la période de clôture pour signer les documents et d'un mois pendant le reste de l'année. </w:t>
      </w:r>
    </w:p>
    <w:p w:rsidR="000C167B" w:rsidP="000C167B" w:rsidRDefault="000C167B" w14:paraId="5FEEF106" w14:textId="77777777"/>
    <w:p w:rsidR="000C167B" w:rsidP="000C167B" w:rsidRDefault="000C167B" w14:paraId="6CA15170" w14:textId="77777777">
      <w:pPr>
        <w:pStyle w:val="Kop1"/>
        <w:numPr>
          <w:ilvl w:val="0"/>
          <w:numId w:val="6"/>
        </w:numPr>
      </w:pPr>
      <w:bookmarkStart w:name="_Toc160549728" w:id="37"/>
      <w:r>
        <w:t>Suivi des projets</w:t>
      </w:r>
      <w:bookmarkEnd w:id="37"/>
    </w:p>
    <w:p w:rsidR="000C167B" w:rsidP="000C167B" w:rsidRDefault="000C167B" w14:paraId="03BE22DD" w14:textId="77777777"/>
    <w:p w:rsidRPr="00C27B2C" w:rsidR="000C167B" w:rsidP="0032505C" w:rsidRDefault="000C167B" w14:paraId="304C1E6D" w14:textId="28C0246E">
      <w:bookmarkStart w:name="_Hlk152711504" w:id="38"/>
      <w:r>
        <w:t xml:space="preserve">Les projets sélectionnés sont suivis par Innoviris tant au niveau du contenu que du financement. Pour cela, une fois l'action réalisée, Innoviris doit recevoir du coordinateur du projet les pièces justificatives nécessaires. Il s'agit d'un rapport d'activité et d'un rapport financier (budget des recettes et des dépenses), dont les modèles sont disponibles sur la </w:t>
      </w:r>
      <w:hyperlink w:history="1" r:id="rId14">
        <w:r>
          <w:rPr>
            <w:rStyle w:val="Hyperlink"/>
          </w:rPr>
          <w:t>page web</w:t>
        </w:r>
      </w:hyperlink>
      <w:r>
        <w:t xml:space="preserve"> de SP-PROGRAM, ainsi que toutes les factures justifiant les dépenses effectuées. Le rapport d'activités et le rapport financier doivent être envoyés à </w:t>
      </w:r>
      <w:hyperlink w:history="1" r:id="rId15">
        <w:r>
          <w:rPr>
            <w:rStyle w:val="Hyperlink"/>
          </w:rPr>
          <w:t>reporting@innoviris.brussels</w:t>
        </w:r>
      </w:hyperlink>
      <w:r>
        <w:t xml:space="preserve">. Les déclarations de créance doivent être envoyées à </w:t>
      </w:r>
      <w:hyperlink w:history="1" r:id="rId16">
        <w:r>
          <w:rPr>
            <w:rStyle w:val="Hyperlink"/>
          </w:rPr>
          <w:t>e-invoicing@innoviris.brussels</w:t>
        </w:r>
      </w:hyperlink>
      <w:r>
        <w:t xml:space="preserve">. </w:t>
      </w:r>
    </w:p>
    <w:bookmarkEnd w:id="38"/>
    <w:p w:rsidR="000C167B" w:rsidP="000C167B" w:rsidRDefault="000C167B" w14:paraId="73380087" w14:textId="77777777">
      <w:r>
        <w:t xml:space="preserve">La convention précise quels rapports sont nécessaires à quel moment afin de permettre le paiement de la tranche suivante. </w:t>
      </w:r>
    </w:p>
    <w:p w:rsidRPr="000C167B" w:rsidR="000C167B" w:rsidP="007C3987" w:rsidRDefault="000C167B" w14:paraId="032B0306" w14:textId="77777777">
      <w:pPr>
        <w:pBdr>
          <w:top w:val="none" w:color="auto" w:sz="0" w:space="0"/>
          <w:left w:val="none" w:color="auto" w:sz="0" w:space="0"/>
          <w:bottom w:val="none" w:color="auto" w:sz="0" w:space="0"/>
          <w:right w:val="none" w:color="auto" w:sz="0" w:space="0"/>
          <w:between w:val="none" w:color="auto" w:sz="0" w:space="0"/>
        </w:pBdr>
        <w:spacing w:after="160" w:line="259" w:lineRule="auto"/>
        <w:rPr>
          <w:b/>
          <w:color w:val="4046C1"/>
          <w:sz w:val="32"/>
          <w:szCs w:val="32"/>
        </w:rPr>
      </w:pPr>
    </w:p>
    <w:p w:rsidR="00EB3F0C" w:rsidP="00EB3F0C" w:rsidRDefault="00EB3F0C" w14:paraId="6E8A22B4" w14:textId="77777777">
      <w:pPr>
        <w:pStyle w:val="Kop1"/>
        <w:numPr>
          <w:ilvl w:val="0"/>
          <w:numId w:val="6"/>
        </w:numPr>
      </w:pPr>
      <w:bookmarkStart w:name="_Toc160549729" w:id="39"/>
      <w:r>
        <w:t>Traitement de données à caractère personnel</w:t>
      </w:r>
      <w:bookmarkEnd w:id="39"/>
    </w:p>
    <w:p w:rsidR="00EB3F0C" w:rsidP="00EB3F0C" w:rsidRDefault="00EB3F0C" w14:paraId="44623CC7" w14:textId="272B6254">
      <w:pPr>
        <w:spacing w:before="240"/>
      </w:pPr>
      <w:r>
        <w:t xml:space="preserve">Les données à caractère personnel collectées dans le cadre du SP-PROGRAM via le formulaire en ligne seront traitées conformément au règlement (UE) 2016/679 relatif à la protection des </w:t>
      </w:r>
      <w:r>
        <w:t>personnes physiques à l'égard du traitement des données à caractère personnel et à la libre circulation de ces données, et abrogeant la directive 95/46/CE (règlement général sur la protection des données). Les données seront utilisées pour analyser les demandes de subvention et pour contacter les auteurs des projets. Leur traitement repose sur la base légale de la mission d'intérêt public confiée à Innoviris et sur les Ordonnances du 27 juillet 2017</w:t>
      </w:r>
      <w:r>
        <w:rPr>
          <w:rStyle w:val="Voetnootmarkering"/>
        </w:rPr>
        <w:footnoteReference w:id="3"/>
      </w:r>
      <w:r>
        <w:t xml:space="preserve"> et leurs arrêtés d'exécution</w:t>
      </w:r>
      <w:r>
        <w:rPr>
          <w:rStyle w:val="Voetnootmarkering"/>
        </w:rPr>
        <w:footnoteReference w:id="4"/>
      </w:r>
      <w:r>
        <w:t>.</w:t>
      </w:r>
    </w:p>
    <w:p w:rsidR="00EB3F0C" w:rsidP="00EB3F0C" w:rsidRDefault="00EB3F0C" w14:paraId="07C27763" w14:textId="77777777">
      <w:r>
        <w:t>Aucune donnée n'est partagée avec des tiers sans le consentement préalable de la personne concernée, à moins qu'Innoviris soit légalement contrainte de le faire. La durée de conservation est le temps nécessaire pour atteindre les objectifs du traitement en question. Si le candidat n'est pas retenu, Innoviris s'engage à supprimer les données fournies par le candidat dans les meilleurs délais.</w:t>
      </w:r>
    </w:p>
    <w:p w:rsidR="00EB3F0C" w:rsidP="00EB3F0C" w:rsidRDefault="00EB3F0C" w14:paraId="4A6AC351" w14:textId="77777777">
      <w:r>
        <w:t xml:space="preserve">Si vous avez des questions ou que vous souhaitez exercer vos droits, contactez notre DPO : </w:t>
      </w:r>
      <w:proofErr w:type="spellStart"/>
      <w:r>
        <w:t>dpo@innoviris.brussels</w:t>
      </w:r>
      <w:proofErr w:type="spellEnd"/>
      <w:r>
        <w:t xml:space="preserve"> ou consultez la rubrique « Protection de la vie privée » sur notre site web.</w:t>
      </w:r>
    </w:p>
    <w:p w:rsidR="00EB3F0C" w:rsidP="00EB3F0C" w:rsidRDefault="00EB3F0C" w14:paraId="7CD3D6A9" w14:textId="77777777"/>
    <w:p w:rsidR="00EB3F0C" w:rsidP="00EB3F0C" w:rsidRDefault="00EB3F0C" w14:paraId="65DF023C" w14:textId="77777777">
      <w:pPr>
        <w:pStyle w:val="Kop1"/>
        <w:numPr>
          <w:ilvl w:val="0"/>
          <w:numId w:val="6"/>
        </w:numPr>
      </w:pPr>
      <w:bookmarkStart w:name="_Toc160549730" w:id="40"/>
      <w:r>
        <w:t>Acceptation du règlement</w:t>
      </w:r>
      <w:bookmarkEnd w:id="40"/>
    </w:p>
    <w:p w:rsidR="00673B53" w:rsidP="00673B53" w:rsidRDefault="00673B53" w14:paraId="15872A18" w14:textId="77777777">
      <w:pPr>
        <w:spacing w:before="240"/>
        <w:ind w:left="360"/>
      </w:pPr>
      <w:r>
        <w:t xml:space="preserve">En introduisant une candidature, vous acceptez automatiquement le présent règlement et vous serez lié par les règles qu'il contient. Le règlement ne peut pas être contesté. </w:t>
      </w:r>
    </w:p>
    <w:p w:rsidR="00EB3F0C" w:rsidP="00673B53" w:rsidRDefault="00EB3F0C" w14:paraId="3765A6EB" w14:textId="21B41B47">
      <w:pPr>
        <w:spacing w:before="240"/>
      </w:pPr>
    </w:p>
    <w:sectPr w:rsidR="00EB3F0C">
      <w:headerReference w:type="default" r:id="rId17"/>
      <w:footerReference w:type="default" r:id="rId1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E63" w:rsidP="006F0626" w:rsidRDefault="00DF4E63" w14:paraId="4A4C7D24" w14:textId="77777777">
      <w:pPr>
        <w:spacing w:after="0" w:line="240" w:lineRule="auto"/>
      </w:pPr>
      <w:r>
        <w:separator/>
      </w:r>
    </w:p>
  </w:endnote>
  <w:endnote w:type="continuationSeparator" w:id="0">
    <w:p w:rsidR="00DF4E63" w:rsidP="006F0626" w:rsidRDefault="00DF4E63" w14:paraId="396F7C1E" w14:textId="77777777">
      <w:pPr>
        <w:spacing w:after="0" w:line="240" w:lineRule="auto"/>
      </w:pPr>
      <w:r>
        <w:continuationSeparator/>
      </w:r>
    </w:p>
  </w:endnote>
  <w:endnote w:type="continuationNotice" w:id="1">
    <w:p w:rsidR="00DF4E63" w:rsidRDefault="00DF4E63" w14:paraId="6F46F09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201310"/>
      <w:docPartObj>
        <w:docPartGallery w:val="Page Numbers (Bottom of Page)"/>
        <w:docPartUnique/>
      </w:docPartObj>
    </w:sdtPr>
    <w:sdtContent>
      <w:p w:rsidR="003B746A" w:rsidRDefault="003B746A" w14:paraId="6426DB94" w14:textId="773C2577">
        <w:pPr>
          <w:pStyle w:val="Voettekst"/>
          <w:jc w:val="center"/>
        </w:pPr>
        <w:r>
          <w:fldChar w:fldCharType="begin"/>
        </w:r>
        <w:r>
          <w:instrText>PAGE   \* MERGEFORMAT</w:instrText>
        </w:r>
        <w:r>
          <w:fldChar w:fldCharType="separate"/>
        </w:r>
        <w:r>
          <w:t>2</w:t>
        </w:r>
        <w:r>
          <w:fldChar w:fldCharType="end"/>
        </w:r>
      </w:p>
    </w:sdtContent>
  </w:sdt>
  <w:p w:rsidR="003B746A" w:rsidRDefault="003B746A" w14:paraId="46EAF94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E63" w:rsidP="006F0626" w:rsidRDefault="00DF4E63" w14:paraId="61873AC1" w14:textId="77777777">
      <w:pPr>
        <w:spacing w:after="0" w:line="240" w:lineRule="auto"/>
      </w:pPr>
      <w:r>
        <w:separator/>
      </w:r>
    </w:p>
  </w:footnote>
  <w:footnote w:type="continuationSeparator" w:id="0">
    <w:p w:rsidR="00DF4E63" w:rsidP="006F0626" w:rsidRDefault="00DF4E63" w14:paraId="5D410A4D" w14:textId="77777777">
      <w:pPr>
        <w:spacing w:after="0" w:line="240" w:lineRule="auto"/>
      </w:pPr>
      <w:r>
        <w:continuationSeparator/>
      </w:r>
    </w:p>
  </w:footnote>
  <w:footnote w:type="continuationNotice" w:id="1">
    <w:p w:rsidR="00DF4E63" w:rsidRDefault="00DF4E63" w14:paraId="454F212C" w14:textId="77777777">
      <w:pPr>
        <w:spacing w:after="0" w:line="240" w:lineRule="auto"/>
      </w:pPr>
    </w:p>
  </w:footnote>
  <w:footnote w:id="2">
    <w:p w:rsidRPr="0071368E" w:rsidR="00EB2CEF" w:rsidP="00EB2CEF" w:rsidRDefault="00EB2CEF" w14:paraId="45797297" w14:textId="77777777">
      <w:pPr>
        <w:pStyle w:val="Voetnoottekst"/>
      </w:pPr>
      <w:r>
        <w:rPr>
          <w:rStyle w:val="Voetnootmarkering"/>
        </w:rPr>
        <w:footnoteRef/>
      </w:r>
      <w:r>
        <w:t xml:space="preserve"> Bien que les projets des catégories 1 et 2 soient évalués par des jurys distincts, un classement commun est établi entre les deux catégories. </w:t>
      </w:r>
    </w:p>
  </w:footnote>
  <w:footnote w:id="3">
    <w:p w:rsidR="00EB3F0C" w:rsidP="00EB3F0C" w:rsidRDefault="00EB3F0C" w14:paraId="7ED3B5CD" w14:textId="77777777">
      <w:pPr>
        <w:pStyle w:val="Voetnoottekst"/>
      </w:pPr>
      <w:r>
        <w:rPr>
          <w:rStyle w:val="Voetnootmarkering"/>
        </w:rPr>
        <w:footnoteRef/>
      </w:r>
      <w:r>
        <w:t xml:space="preserve"> Règlement du 27 juillet 2017 visant à promouvoir la recherche, le développement et l'innovation par l'octroi d'aides affectées à des finalités économiques en faveur des entreprises et des organismes de recherche assimilés à des entreprises ; Règlement du 27 juillet 2017 visant à promouvoir la recherche, le développement et l'innovation par l'octroi d'aides à finalité non économique en faveur des organisations non marchandes, des organismes de recherche et des entreprises.</w:t>
      </w:r>
    </w:p>
    <w:p w:rsidRPr="00C27B2C" w:rsidR="00EB3F0C" w:rsidP="00EB3F0C" w:rsidRDefault="00EB3F0C" w14:paraId="1AF2655F" w14:textId="77777777">
      <w:pPr>
        <w:pStyle w:val="Voetnoottekst"/>
      </w:pPr>
    </w:p>
  </w:footnote>
  <w:footnote w:id="4">
    <w:p w:rsidR="00EB3F0C" w:rsidP="00EB3F0C" w:rsidRDefault="00EB3F0C" w14:paraId="6027B691" w14:textId="77777777">
      <w:pPr>
        <w:pStyle w:val="Voetnoottekst"/>
      </w:pPr>
      <w:r>
        <w:rPr>
          <w:rStyle w:val="Voetnootmarkering"/>
        </w:rPr>
        <w:footnoteRef/>
      </w:r>
      <w:r>
        <w:t xml:space="preserve"> Arrêté du 21 février 2019 du Gouvernement de la Région de Bruxelles-Capitale portant exécution de l'arrêté du 27 juillet 2017 visant à promouvoir la recherche, le développement et l'innovation par l'octroi d'aides affectées à des finalités économiques en faveur des entreprises et des organismes de recherche assimilés à des entreprises ; Arrêté du 21 février 2019 du Gouvernement de la Région de Bruxelles-Capitale portant exécution de l'arrêté du 27 juillet 2017 visant à promouvoir la recherche, le développement et l'innovation par l'octroi d'aides à finalité non économique en faveur des organisations non marchandes, des organismes de recherche et des entreprises.</w:t>
      </w:r>
    </w:p>
    <w:p w:rsidRPr="00C27B2C" w:rsidR="00EB3F0C" w:rsidP="00EB3F0C" w:rsidRDefault="00EB3F0C" w14:paraId="6E93B655" w14:textId="777777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F0626" w:rsidRDefault="006F0626" w14:paraId="1DF6E842" w14:textId="76998E34">
    <w:pPr>
      <w:pStyle w:val="Koptekst"/>
    </w:pPr>
    <w:r>
      <w:rPr>
        <w:noProof/>
      </w:rPr>
      <w:drawing>
        <wp:anchor distT="0" distB="0" distL="114300" distR="114300" simplePos="0" relativeHeight="251658240" behindDoc="0" locked="0" layoutInCell="1" allowOverlap="1" wp14:anchorId="7BF15567" wp14:editId="762BDC23">
          <wp:simplePos x="0" y="0"/>
          <wp:positionH relativeFrom="margin">
            <wp:align>left</wp:align>
          </wp:positionH>
          <wp:positionV relativeFrom="paragraph">
            <wp:posOffset>-451485</wp:posOffset>
          </wp:positionV>
          <wp:extent cx="1811483" cy="922020"/>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ORD.jpg"/>
                  <pic:cNvPicPr>
                    <a:picLocks noChangeAspect="1"/>
                  </pic:cNvPicPr>
                </pic:nvPicPr>
                <pic:blipFill>
                  <a:blip r:embed="rId1"/>
                  <a:srcRect b="23739"/>
                  <a:stretch/>
                </pic:blipFill>
                <pic:spPr bwMode="auto">
                  <a:xfrm>
                    <a:off x="0" y="0"/>
                    <a:ext cx="1811483" cy="92202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DFA"/>
    <w:multiLevelType w:val="hybridMultilevel"/>
    <w:tmpl w:val="092AFCD6"/>
    <w:lvl w:ilvl="0" w:tplc="24DC8DC6">
      <w:start w:val="1"/>
      <w:numFmt w:val="bullet"/>
      <w:lvlText w:val=""/>
      <w:lvlJc w:val="left"/>
      <w:pPr>
        <w:ind w:left="720" w:hanging="360"/>
      </w:pPr>
      <w:rPr>
        <w:rFonts w:hint="default" w:ascii="Symbol" w:hAnsi="Symbol"/>
      </w:rPr>
    </w:lvl>
    <w:lvl w:ilvl="1" w:tplc="7CD6C02A">
      <w:start w:val="1"/>
      <w:numFmt w:val="bullet"/>
      <w:lvlText w:val="o"/>
      <w:lvlJc w:val="left"/>
      <w:pPr>
        <w:ind w:left="1440" w:hanging="360"/>
      </w:pPr>
      <w:rPr>
        <w:rFonts w:hint="default" w:ascii="Courier New" w:hAnsi="Courier New" w:cs="Courier New"/>
      </w:rPr>
    </w:lvl>
    <w:lvl w:ilvl="2" w:tplc="A64A07B6">
      <w:start w:val="1"/>
      <w:numFmt w:val="bullet"/>
      <w:lvlText w:val=""/>
      <w:lvlJc w:val="left"/>
      <w:pPr>
        <w:ind w:left="2160" w:hanging="360"/>
      </w:pPr>
      <w:rPr>
        <w:rFonts w:hint="default" w:ascii="Wingdings" w:hAnsi="Wingdings"/>
      </w:rPr>
    </w:lvl>
    <w:lvl w:ilvl="3" w:tplc="39BC4190">
      <w:start w:val="1"/>
      <w:numFmt w:val="bullet"/>
      <w:lvlText w:val=""/>
      <w:lvlJc w:val="left"/>
      <w:pPr>
        <w:ind w:left="2880" w:hanging="360"/>
      </w:pPr>
      <w:rPr>
        <w:rFonts w:hint="default" w:ascii="Symbol" w:hAnsi="Symbol"/>
      </w:rPr>
    </w:lvl>
    <w:lvl w:ilvl="4" w:tplc="A1389364">
      <w:start w:val="1"/>
      <w:numFmt w:val="bullet"/>
      <w:lvlText w:val="o"/>
      <w:lvlJc w:val="left"/>
      <w:pPr>
        <w:ind w:left="3600" w:hanging="360"/>
      </w:pPr>
      <w:rPr>
        <w:rFonts w:hint="default" w:ascii="Courier New" w:hAnsi="Courier New" w:cs="Courier New"/>
      </w:rPr>
    </w:lvl>
    <w:lvl w:ilvl="5" w:tplc="FDF097A4">
      <w:start w:val="1"/>
      <w:numFmt w:val="bullet"/>
      <w:lvlText w:val=""/>
      <w:lvlJc w:val="left"/>
      <w:pPr>
        <w:ind w:left="4320" w:hanging="360"/>
      </w:pPr>
      <w:rPr>
        <w:rFonts w:hint="default" w:ascii="Wingdings" w:hAnsi="Wingdings"/>
      </w:rPr>
    </w:lvl>
    <w:lvl w:ilvl="6" w:tplc="D668E52C">
      <w:start w:val="1"/>
      <w:numFmt w:val="bullet"/>
      <w:lvlText w:val=""/>
      <w:lvlJc w:val="left"/>
      <w:pPr>
        <w:ind w:left="5040" w:hanging="360"/>
      </w:pPr>
      <w:rPr>
        <w:rFonts w:hint="default" w:ascii="Symbol" w:hAnsi="Symbol"/>
      </w:rPr>
    </w:lvl>
    <w:lvl w:ilvl="7" w:tplc="5366D324">
      <w:start w:val="1"/>
      <w:numFmt w:val="bullet"/>
      <w:lvlText w:val="o"/>
      <w:lvlJc w:val="left"/>
      <w:pPr>
        <w:ind w:left="5760" w:hanging="360"/>
      </w:pPr>
      <w:rPr>
        <w:rFonts w:hint="default" w:ascii="Courier New" w:hAnsi="Courier New" w:cs="Courier New"/>
      </w:rPr>
    </w:lvl>
    <w:lvl w:ilvl="8" w:tplc="C180CBD4">
      <w:start w:val="1"/>
      <w:numFmt w:val="bullet"/>
      <w:lvlText w:val=""/>
      <w:lvlJc w:val="left"/>
      <w:pPr>
        <w:ind w:left="6480" w:hanging="360"/>
      </w:pPr>
      <w:rPr>
        <w:rFonts w:hint="default" w:ascii="Wingdings" w:hAnsi="Wingdings"/>
      </w:rPr>
    </w:lvl>
  </w:abstractNum>
  <w:abstractNum w:abstractNumId="1" w15:restartNumberingAfterBreak="0">
    <w:nsid w:val="04851BBB"/>
    <w:multiLevelType w:val="hybridMultilevel"/>
    <w:tmpl w:val="0D7CD4E0"/>
    <w:lvl w:ilvl="0" w:tplc="1060A0D8">
      <w:start w:val="1"/>
      <w:numFmt w:val="bullet"/>
      <w:lvlText w:val=""/>
      <w:lvlJc w:val="left"/>
      <w:pPr>
        <w:ind w:left="1068" w:hanging="360"/>
      </w:pPr>
      <w:rPr>
        <w:rFonts w:hint="default" w:ascii="Symbol" w:hAnsi="Symbol"/>
      </w:rPr>
    </w:lvl>
    <w:lvl w:ilvl="1" w:tplc="188E7A6E">
      <w:start w:val="1"/>
      <w:numFmt w:val="bullet"/>
      <w:lvlText w:val="o"/>
      <w:lvlJc w:val="left"/>
      <w:pPr>
        <w:ind w:left="1788" w:hanging="360"/>
      </w:pPr>
      <w:rPr>
        <w:rFonts w:hint="default" w:ascii="Courier New" w:hAnsi="Courier New" w:cs="Courier New"/>
      </w:rPr>
    </w:lvl>
    <w:lvl w:ilvl="2" w:tplc="52F4C4EE">
      <w:start w:val="1"/>
      <w:numFmt w:val="bullet"/>
      <w:lvlText w:val=""/>
      <w:lvlJc w:val="left"/>
      <w:pPr>
        <w:ind w:left="2508" w:hanging="360"/>
      </w:pPr>
      <w:rPr>
        <w:rFonts w:hint="default" w:ascii="Wingdings" w:hAnsi="Wingdings"/>
      </w:rPr>
    </w:lvl>
    <w:lvl w:ilvl="3" w:tplc="7B365EE8">
      <w:start w:val="1"/>
      <w:numFmt w:val="bullet"/>
      <w:lvlText w:val=""/>
      <w:lvlJc w:val="left"/>
      <w:pPr>
        <w:ind w:left="3228" w:hanging="360"/>
      </w:pPr>
      <w:rPr>
        <w:rFonts w:hint="default" w:ascii="Symbol" w:hAnsi="Symbol"/>
      </w:rPr>
    </w:lvl>
    <w:lvl w:ilvl="4" w:tplc="843A4914">
      <w:start w:val="1"/>
      <w:numFmt w:val="bullet"/>
      <w:lvlText w:val="o"/>
      <w:lvlJc w:val="left"/>
      <w:pPr>
        <w:ind w:left="3948" w:hanging="360"/>
      </w:pPr>
      <w:rPr>
        <w:rFonts w:hint="default" w:ascii="Courier New" w:hAnsi="Courier New" w:cs="Courier New"/>
      </w:rPr>
    </w:lvl>
    <w:lvl w:ilvl="5" w:tplc="DA9AFF44">
      <w:start w:val="1"/>
      <w:numFmt w:val="bullet"/>
      <w:lvlText w:val=""/>
      <w:lvlJc w:val="left"/>
      <w:pPr>
        <w:ind w:left="4668" w:hanging="360"/>
      </w:pPr>
      <w:rPr>
        <w:rFonts w:hint="default" w:ascii="Wingdings" w:hAnsi="Wingdings"/>
      </w:rPr>
    </w:lvl>
    <w:lvl w:ilvl="6" w:tplc="795E9A4C">
      <w:start w:val="1"/>
      <w:numFmt w:val="bullet"/>
      <w:lvlText w:val=""/>
      <w:lvlJc w:val="left"/>
      <w:pPr>
        <w:ind w:left="5388" w:hanging="360"/>
      </w:pPr>
      <w:rPr>
        <w:rFonts w:hint="default" w:ascii="Symbol" w:hAnsi="Symbol"/>
      </w:rPr>
    </w:lvl>
    <w:lvl w:ilvl="7" w:tplc="F6DC16B6">
      <w:start w:val="1"/>
      <w:numFmt w:val="bullet"/>
      <w:lvlText w:val="o"/>
      <w:lvlJc w:val="left"/>
      <w:pPr>
        <w:ind w:left="6108" w:hanging="360"/>
      </w:pPr>
      <w:rPr>
        <w:rFonts w:hint="default" w:ascii="Courier New" w:hAnsi="Courier New" w:cs="Courier New"/>
      </w:rPr>
    </w:lvl>
    <w:lvl w:ilvl="8" w:tplc="A7A60BFE">
      <w:start w:val="1"/>
      <w:numFmt w:val="bullet"/>
      <w:lvlText w:val=""/>
      <w:lvlJc w:val="left"/>
      <w:pPr>
        <w:ind w:left="6828" w:hanging="360"/>
      </w:pPr>
      <w:rPr>
        <w:rFonts w:hint="default" w:ascii="Wingdings" w:hAnsi="Wingdings"/>
      </w:rPr>
    </w:lvl>
  </w:abstractNum>
  <w:abstractNum w:abstractNumId="2" w15:restartNumberingAfterBreak="0">
    <w:nsid w:val="17746D71"/>
    <w:multiLevelType w:val="hybridMultilevel"/>
    <w:tmpl w:val="C3122A3A"/>
    <w:lvl w:ilvl="0" w:tplc="3CEEF2B2">
      <w:start w:val="1"/>
      <w:numFmt w:val="bullet"/>
      <w:lvlText w:val=""/>
      <w:lvlJc w:val="left"/>
      <w:pPr>
        <w:ind w:left="720" w:hanging="360"/>
      </w:pPr>
      <w:rPr>
        <w:rFonts w:hint="default" w:ascii="Symbol" w:hAnsi="Symbol"/>
      </w:rPr>
    </w:lvl>
    <w:lvl w:ilvl="1" w:tplc="2288252E">
      <w:start w:val="1"/>
      <w:numFmt w:val="bullet"/>
      <w:lvlText w:val="o"/>
      <w:lvlJc w:val="left"/>
      <w:pPr>
        <w:ind w:left="1440" w:hanging="360"/>
      </w:pPr>
      <w:rPr>
        <w:rFonts w:hint="default" w:ascii="Courier New" w:hAnsi="Courier New" w:cs="Courier New"/>
      </w:rPr>
    </w:lvl>
    <w:lvl w:ilvl="2" w:tplc="A692C72A">
      <w:start w:val="1"/>
      <w:numFmt w:val="bullet"/>
      <w:lvlText w:val=""/>
      <w:lvlJc w:val="left"/>
      <w:pPr>
        <w:ind w:left="2160" w:hanging="360"/>
      </w:pPr>
      <w:rPr>
        <w:rFonts w:hint="default" w:ascii="Wingdings" w:hAnsi="Wingdings"/>
      </w:rPr>
    </w:lvl>
    <w:lvl w:ilvl="3" w:tplc="3F56330E">
      <w:start w:val="1"/>
      <w:numFmt w:val="bullet"/>
      <w:lvlText w:val=""/>
      <w:lvlJc w:val="left"/>
      <w:pPr>
        <w:ind w:left="2880" w:hanging="360"/>
      </w:pPr>
      <w:rPr>
        <w:rFonts w:hint="default" w:ascii="Symbol" w:hAnsi="Symbol"/>
      </w:rPr>
    </w:lvl>
    <w:lvl w:ilvl="4" w:tplc="EBF8308C">
      <w:start w:val="1"/>
      <w:numFmt w:val="bullet"/>
      <w:lvlText w:val="o"/>
      <w:lvlJc w:val="left"/>
      <w:pPr>
        <w:ind w:left="3600" w:hanging="360"/>
      </w:pPr>
      <w:rPr>
        <w:rFonts w:hint="default" w:ascii="Courier New" w:hAnsi="Courier New" w:cs="Courier New"/>
      </w:rPr>
    </w:lvl>
    <w:lvl w:ilvl="5" w:tplc="F656E89C">
      <w:start w:val="1"/>
      <w:numFmt w:val="bullet"/>
      <w:lvlText w:val=""/>
      <w:lvlJc w:val="left"/>
      <w:pPr>
        <w:ind w:left="4320" w:hanging="360"/>
      </w:pPr>
      <w:rPr>
        <w:rFonts w:hint="default" w:ascii="Wingdings" w:hAnsi="Wingdings"/>
      </w:rPr>
    </w:lvl>
    <w:lvl w:ilvl="6" w:tplc="3614FD14">
      <w:start w:val="1"/>
      <w:numFmt w:val="bullet"/>
      <w:lvlText w:val=""/>
      <w:lvlJc w:val="left"/>
      <w:pPr>
        <w:ind w:left="5040" w:hanging="360"/>
      </w:pPr>
      <w:rPr>
        <w:rFonts w:hint="default" w:ascii="Symbol" w:hAnsi="Symbol"/>
      </w:rPr>
    </w:lvl>
    <w:lvl w:ilvl="7" w:tplc="78ACBA5A">
      <w:start w:val="1"/>
      <w:numFmt w:val="bullet"/>
      <w:lvlText w:val="o"/>
      <w:lvlJc w:val="left"/>
      <w:pPr>
        <w:ind w:left="5760" w:hanging="360"/>
      </w:pPr>
      <w:rPr>
        <w:rFonts w:hint="default" w:ascii="Courier New" w:hAnsi="Courier New" w:cs="Courier New"/>
      </w:rPr>
    </w:lvl>
    <w:lvl w:ilvl="8" w:tplc="C03AEA48">
      <w:start w:val="1"/>
      <w:numFmt w:val="bullet"/>
      <w:lvlText w:val=""/>
      <w:lvlJc w:val="left"/>
      <w:pPr>
        <w:ind w:left="6480" w:hanging="360"/>
      </w:pPr>
      <w:rPr>
        <w:rFonts w:hint="default" w:ascii="Wingdings" w:hAnsi="Wingdings"/>
      </w:rPr>
    </w:lvl>
  </w:abstractNum>
  <w:abstractNum w:abstractNumId="3" w15:restartNumberingAfterBreak="0">
    <w:nsid w:val="32C61EA7"/>
    <w:multiLevelType w:val="multilevel"/>
    <w:tmpl w:val="BF90A7A2"/>
    <w:lvl w:ilvl="0">
      <w:start w:val="1"/>
      <w:numFmt w:val="decimal"/>
      <w:pStyle w:val="Style1"/>
      <w:lvlText w:val="%1."/>
      <w:lvlJc w:val="left"/>
      <w:pPr>
        <w:ind w:left="1080" w:hanging="720"/>
      </w:pPr>
      <w:rPr>
        <w:rFonts w:hint="default"/>
      </w:rPr>
    </w:lvl>
    <w:lvl w:ilvl="1">
      <w:start w:val="1"/>
      <w:numFmt w:val="decimal"/>
      <w:pStyle w:val="Style2"/>
      <w:isLgl/>
      <w:lvlText w:val="%1.%2."/>
      <w:lvlJc w:val="left"/>
      <w:pPr>
        <w:ind w:left="1080" w:hanging="720"/>
      </w:pPr>
      <w:rPr>
        <w:rFonts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965B0"/>
    <w:multiLevelType w:val="hybridMultilevel"/>
    <w:tmpl w:val="B7106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336C6C"/>
    <w:multiLevelType w:val="hybridMultilevel"/>
    <w:tmpl w:val="990CDF42"/>
    <w:lvl w:ilvl="0" w:tplc="08130001">
      <w:start w:val="1"/>
      <w:numFmt w:val="bullet"/>
      <w:lvlText w:val=""/>
      <w:lvlJc w:val="left"/>
      <w:pPr>
        <w:ind w:left="720" w:hanging="360"/>
      </w:pPr>
      <w:rPr>
        <w:rFonts w:hint="default" w:ascii="Symbol" w:hAnsi="Symbol"/>
      </w:rPr>
    </w:lvl>
    <w:lvl w:ilvl="1" w:tplc="8FCACF2C">
      <w:start w:val="1"/>
      <w:numFmt w:val="bullet"/>
      <w:lvlText w:val="o"/>
      <w:lvlJc w:val="left"/>
      <w:pPr>
        <w:ind w:left="1440" w:hanging="360"/>
      </w:pPr>
      <w:rPr>
        <w:rFonts w:hint="default" w:ascii="Courier New" w:hAnsi="Courier New" w:cs="Courier New"/>
        <w:lang w:val="fr-BE"/>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3D582B03"/>
    <w:multiLevelType w:val="hybridMultilevel"/>
    <w:tmpl w:val="6CCC37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9F0AA0"/>
    <w:multiLevelType w:val="hybridMultilevel"/>
    <w:tmpl w:val="89AE513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408D2D1A"/>
    <w:multiLevelType w:val="hybridMultilevel"/>
    <w:tmpl w:val="097414F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423664EE"/>
    <w:multiLevelType w:val="hybridMultilevel"/>
    <w:tmpl w:val="6E8E9724"/>
    <w:lvl w:ilvl="0" w:tplc="935EF7BC">
      <w:start w:val="3"/>
      <w:numFmt w:val="bullet"/>
      <w:lvlText w:val="-"/>
      <w:lvlJc w:val="left"/>
      <w:pPr>
        <w:ind w:left="720" w:hanging="360"/>
      </w:pPr>
      <w:rPr>
        <w:rFonts w:hint="default" w:ascii="Calibri" w:hAnsi="Calibri" w:eastAsia="Calibri"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4BD61957"/>
    <w:multiLevelType w:val="hybridMultilevel"/>
    <w:tmpl w:val="9F002AF0"/>
    <w:lvl w:ilvl="0" w:tplc="3CEEF2B2">
      <w:start w:val="1"/>
      <w:numFmt w:val="bullet"/>
      <w:lvlText w:val=""/>
      <w:lvlJc w:val="left"/>
      <w:pPr>
        <w:ind w:left="1004" w:hanging="360"/>
      </w:pPr>
      <w:rPr>
        <w:rFonts w:hint="default" w:ascii="Symbol" w:hAnsi="Symbol"/>
      </w:rPr>
    </w:lvl>
    <w:lvl w:ilvl="1" w:tplc="08130003" w:tentative="1">
      <w:start w:val="1"/>
      <w:numFmt w:val="bullet"/>
      <w:lvlText w:val="o"/>
      <w:lvlJc w:val="left"/>
      <w:pPr>
        <w:ind w:left="1724" w:hanging="360"/>
      </w:pPr>
      <w:rPr>
        <w:rFonts w:hint="default" w:ascii="Courier New" w:hAnsi="Courier New" w:cs="Courier New"/>
      </w:rPr>
    </w:lvl>
    <w:lvl w:ilvl="2" w:tplc="08130005" w:tentative="1">
      <w:start w:val="1"/>
      <w:numFmt w:val="bullet"/>
      <w:lvlText w:val=""/>
      <w:lvlJc w:val="left"/>
      <w:pPr>
        <w:ind w:left="2444" w:hanging="360"/>
      </w:pPr>
      <w:rPr>
        <w:rFonts w:hint="default" w:ascii="Wingdings" w:hAnsi="Wingdings"/>
      </w:rPr>
    </w:lvl>
    <w:lvl w:ilvl="3" w:tplc="08130001" w:tentative="1">
      <w:start w:val="1"/>
      <w:numFmt w:val="bullet"/>
      <w:lvlText w:val=""/>
      <w:lvlJc w:val="left"/>
      <w:pPr>
        <w:ind w:left="3164" w:hanging="360"/>
      </w:pPr>
      <w:rPr>
        <w:rFonts w:hint="default" w:ascii="Symbol" w:hAnsi="Symbol"/>
      </w:rPr>
    </w:lvl>
    <w:lvl w:ilvl="4" w:tplc="08130003" w:tentative="1">
      <w:start w:val="1"/>
      <w:numFmt w:val="bullet"/>
      <w:lvlText w:val="o"/>
      <w:lvlJc w:val="left"/>
      <w:pPr>
        <w:ind w:left="3884" w:hanging="360"/>
      </w:pPr>
      <w:rPr>
        <w:rFonts w:hint="default" w:ascii="Courier New" w:hAnsi="Courier New" w:cs="Courier New"/>
      </w:rPr>
    </w:lvl>
    <w:lvl w:ilvl="5" w:tplc="08130005" w:tentative="1">
      <w:start w:val="1"/>
      <w:numFmt w:val="bullet"/>
      <w:lvlText w:val=""/>
      <w:lvlJc w:val="left"/>
      <w:pPr>
        <w:ind w:left="4604" w:hanging="360"/>
      </w:pPr>
      <w:rPr>
        <w:rFonts w:hint="default" w:ascii="Wingdings" w:hAnsi="Wingdings"/>
      </w:rPr>
    </w:lvl>
    <w:lvl w:ilvl="6" w:tplc="08130001" w:tentative="1">
      <w:start w:val="1"/>
      <w:numFmt w:val="bullet"/>
      <w:lvlText w:val=""/>
      <w:lvlJc w:val="left"/>
      <w:pPr>
        <w:ind w:left="5324" w:hanging="360"/>
      </w:pPr>
      <w:rPr>
        <w:rFonts w:hint="default" w:ascii="Symbol" w:hAnsi="Symbol"/>
      </w:rPr>
    </w:lvl>
    <w:lvl w:ilvl="7" w:tplc="08130003" w:tentative="1">
      <w:start w:val="1"/>
      <w:numFmt w:val="bullet"/>
      <w:lvlText w:val="o"/>
      <w:lvlJc w:val="left"/>
      <w:pPr>
        <w:ind w:left="6044" w:hanging="360"/>
      </w:pPr>
      <w:rPr>
        <w:rFonts w:hint="default" w:ascii="Courier New" w:hAnsi="Courier New" w:cs="Courier New"/>
      </w:rPr>
    </w:lvl>
    <w:lvl w:ilvl="8" w:tplc="08130005" w:tentative="1">
      <w:start w:val="1"/>
      <w:numFmt w:val="bullet"/>
      <w:lvlText w:val=""/>
      <w:lvlJc w:val="left"/>
      <w:pPr>
        <w:ind w:left="6764" w:hanging="360"/>
      </w:pPr>
      <w:rPr>
        <w:rFonts w:hint="default" w:ascii="Wingdings" w:hAnsi="Wingdings"/>
      </w:rPr>
    </w:lvl>
  </w:abstractNum>
  <w:abstractNum w:abstractNumId="11" w15:restartNumberingAfterBreak="0">
    <w:nsid w:val="4C7617FF"/>
    <w:multiLevelType w:val="hybridMultilevel"/>
    <w:tmpl w:val="FF18083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6BE73D4"/>
    <w:multiLevelType w:val="hybridMultilevel"/>
    <w:tmpl w:val="04B602D2"/>
    <w:lvl w:ilvl="0" w:tplc="1B8E80C8">
      <w:start w:val="1060"/>
      <w:numFmt w:val="bullet"/>
      <w:lvlText w:val="-"/>
      <w:lvlJc w:val="left"/>
      <w:pPr>
        <w:ind w:left="720" w:hanging="360"/>
      </w:pPr>
      <w:rPr>
        <w:rFonts w:hint="default" w:ascii="Calibri" w:hAnsi="Calibri" w:eastAsia="Calibri" w:cs="Calibri"/>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56C517AD"/>
    <w:multiLevelType w:val="hybridMultilevel"/>
    <w:tmpl w:val="7BA61C5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85551EC"/>
    <w:multiLevelType w:val="hybridMultilevel"/>
    <w:tmpl w:val="29447938"/>
    <w:lvl w:ilvl="0" w:tplc="EDC080AE">
      <w:start w:val="1"/>
      <w:numFmt w:val="bullet"/>
      <w:lvlText w:val=""/>
      <w:lvlJc w:val="left"/>
      <w:pPr>
        <w:ind w:left="720" w:hanging="360"/>
      </w:pPr>
      <w:rPr>
        <w:rFonts w:ascii="Symbol" w:hAnsi="Symbol"/>
      </w:rPr>
    </w:lvl>
    <w:lvl w:ilvl="1" w:tplc="12048C90">
      <w:start w:val="1"/>
      <w:numFmt w:val="bullet"/>
      <w:lvlText w:val=""/>
      <w:lvlJc w:val="left"/>
      <w:pPr>
        <w:ind w:left="720" w:hanging="360"/>
      </w:pPr>
      <w:rPr>
        <w:rFonts w:ascii="Symbol" w:hAnsi="Symbol"/>
      </w:rPr>
    </w:lvl>
    <w:lvl w:ilvl="2" w:tplc="0E345A78">
      <w:start w:val="1"/>
      <w:numFmt w:val="bullet"/>
      <w:lvlText w:val=""/>
      <w:lvlJc w:val="left"/>
      <w:pPr>
        <w:ind w:left="720" w:hanging="360"/>
      </w:pPr>
      <w:rPr>
        <w:rFonts w:ascii="Symbol" w:hAnsi="Symbol"/>
      </w:rPr>
    </w:lvl>
    <w:lvl w:ilvl="3" w:tplc="30301868">
      <w:start w:val="1"/>
      <w:numFmt w:val="bullet"/>
      <w:lvlText w:val=""/>
      <w:lvlJc w:val="left"/>
      <w:pPr>
        <w:ind w:left="720" w:hanging="360"/>
      </w:pPr>
      <w:rPr>
        <w:rFonts w:ascii="Symbol" w:hAnsi="Symbol"/>
      </w:rPr>
    </w:lvl>
    <w:lvl w:ilvl="4" w:tplc="A522900E">
      <w:start w:val="1"/>
      <w:numFmt w:val="bullet"/>
      <w:lvlText w:val=""/>
      <w:lvlJc w:val="left"/>
      <w:pPr>
        <w:ind w:left="720" w:hanging="360"/>
      </w:pPr>
      <w:rPr>
        <w:rFonts w:ascii="Symbol" w:hAnsi="Symbol"/>
      </w:rPr>
    </w:lvl>
    <w:lvl w:ilvl="5" w:tplc="FC48EFFA">
      <w:start w:val="1"/>
      <w:numFmt w:val="bullet"/>
      <w:lvlText w:val=""/>
      <w:lvlJc w:val="left"/>
      <w:pPr>
        <w:ind w:left="720" w:hanging="360"/>
      </w:pPr>
      <w:rPr>
        <w:rFonts w:ascii="Symbol" w:hAnsi="Symbol"/>
      </w:rPr>
    </w:lvl>
    <w:lvl w:ilvl="6" w:tplc="EC0ACDF2">
      <w:start w:val="1"/>
      <w:numFmt w:val="bullet"/>
      <w:lvlText w:val=""/>
      <w:lvlJc w:val="left"/>
      <w:pPr>
        <w:ind w:left="720" w:hanging="360"/>
      </w:pPr>
      <w:rPr>
        <w:rFonts w:ascii="Symbol" w:hAnsi="Symbol"/>
      </w:rPr>
    </w:lvl>
    <w:lvl w:ilvl="7" w:tplc="3EEEB1F2">
      <w:start w:val="1"/>
      <w:numFmt w:val="bullet"/>
      <w:lvlText w:val=""/>
      <w:lvlJc w:val="left"/>
      <w:pPr>
        <w:ind w:left="720" w:hanging="360"/>
      </w:pPr>
      <w:rPr>
        <w:rFonts w:ascii="Symbol" w:hAnsi="Symbol"/>
      </w:rPr>
    </w:lvl>
    <w:lvl w:ilvl="8" w:tplc="0DA2843C">
      <w:start w:val="1"/>
      <w:numFmt w:val="bullet"/>
      <w:lvlText w:val=""/>
      <w:lvlJc w:val="left"/>
      <w:pPr>
        <w:ind w:left="720" w:hanging="360"/>
      </w:pPr>
      <w:rPr>
        <w:rFonts w:ascii="Symbol" w:hAnsi="Symbol"/>
      </w:rPr>
    </w:lvl>
  </w:abstractNum>
  <w:abstractNum w:abstractNumId="15" w15:restartNumberingAfterBreak="0">
    <w:nsid w:val="6B9D370A"/>
    <w:multiLevelType w:val="hybridMultilevel"/>
    <w:tmpl w:val="46CA2C80"/>
    <w:lvl w:ilvl="0" w:tplc="FF24B578">
      <w:numFmt w:val="bullet"/>
      <w:lvlText w:val="-"/>
      <w:lvlJc w:val="left"/>
      <w:pPr>
        <w:ind w:left="720" w:hanging="360"/>
      </w:pPr>
      <w:rPr>
        <w:rFonts w:hint="default" w:ascii="Calibri" w:hAnsi="Calibri" w:eastAsia="Calibri" w:cs="Calibr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6" w15:restartNumberingAfterBreak="0">
    <w:nsid w:val="72445988"/>
    <w:multiLevelType w:val="hybridMultilevel"/>
    <w:tmpl w:val="3EC42F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70264031">
    <w:abstractNumId w:val="3"/>
  </w:num>
  <w:num w:numId="2" w16cid:durableId="1844007019">
    <w:abstractNumId w:val="2"/>
  </w:num>
  <w:num w:numId="3" w16cid:durableId="444157634">
    <w:abstractNumId w:val="0"/>
  </w:num>
  <w:num w:numId="4" w16cid:durableId="1428499388">
    <w:abstractNumId w:val="1"/>
  </w:num>
  <w:num w:numId="5" w16cid:durableId="1482116421">
    <w:abstractNumId w:val="15"/>
  </w:num>
  <w:num w:numId="6" w16cid:durableId="1394546701">
    <w:abstractNumId w:val="11"/>
  </w:num>
  <w:num w:numId="7" w16cid:durableId="2086536742">
    <w:abstractNumId w:val="16"/>
  </w:num>
  <w:num w:numId="8" w16cid:durableId="343022144">
    <w:abstractNumId w:val="5"/>
  </w:num>
  <w:num w:numId="9" w16cid:durableId="868951072">
    <w:abstractNumId w:val="14"/>
  </w:num>
  <w:num w:numId="10" w16cid:durableId="679235764">
    <w:abstractNumId w:val="9"/>
  </w:num>
  <w:num w:numId="11" w16cid:durableId="737630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6584412">
    <w:abstractNumId w:val="8"/>
  </w:num>
  <w:num w:numId="13" w16cid:durableId="2250195">
    <w:abstractNumId w:val="7"/>
  </w:num>
  <w:num w:numId="14" w16cid:durableId="2136177203">
    <w:abstractNumId w:val="13"/>
  </w:num>
  <w:num w:numId="15" w16cid:durableId="533032970">
    <w:abstractNumId w:val="12"/>
  </w:num>
  <w:num w:numId="16" w16cid:durableId="1732650681">
    <w:abstractNumId w:val="10"/>
  </w:num>
  <w:num w:numId="17" w16cid:durableId="1368024193">
    <w:abstractNumId w:val="4"/>
  </w:num>
  <w:num w:numId="18" w16cid:durableId="116170312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76"/>
    <w:rsid w:val="000022A1"/>
    <w:rsid w:val="0000316D"/>
    <w:rsid w:val="00003A45"/>
    <w:rsid w:val="00004B35"/>
    <w:rsid w:val="0000708B"/>
    <w:rsid w:val="000238AA"/>
    <w:rsid w:val="000279E2"/>
    <w:rsid w:val="00032C45"/>
    <w:rsid w:val="0003376D"/>
    <w:rsid w:val="00033A64"/>
    <w:rsid w:val="00047552"/>
    <w:rsid w:val="0005090A"/>
    <w:rsid w:val="000561A1"/>
    <w:rsid w:val="00056965"/>
    <w:rsid w:val="00064014"/>
    <w:rsid w:val="00066279"/>
    <w:rsid w:val="00067C69"/>
    <w:rsid w:val="00073BB5"/>
    <w:rsid w:val="00076B3E"/>
    <w:rsid w:val="000805D1"/>
    <w:rsid w:val="000829A0"/>
    <w:rsid w:val="000856EE"/>
    <w:rsid w:val="000857D2"/>
    <w:rsid w:val="0008625F"/>
    <w:rsid w:val="000865E3"/>
    <w:rsid w:val="00092A1C"/>
    <w:rsid w:val="00094623"/>
    <w:rsid w:val="000A6E4C"/>
    <w:rsid w:val="000B062B"/>
    <w:rsid w:val="000B4DA0"/>
    <w:rsid w:val="000B6172"/>
    <w:rsid w:val="000B6ED1"/>
    <w:rsid w:val="000B7EB4"/>
    <w:rsid w:val="000C167B"/>
    <w:rsid w:val="000C6456"/>
    <w:rsid w:val="000C7028"/>
    <w:rsid w:val="000C7A83"/>
    <w:rsid w:val="000D2A02"/>
    <w:rsid w:val="000D33F6"/>
    <w:rsid w:val="000D6B96"/>
    <w:rsid w:val="000D6CA3"/>
    <w:rsid w:val="000E2CD9"/>
    <w:rsid w:val="000E7462"/>
    <w:rsid w:val="000E754E"/>
    <w:rsid w:val="000F7FE3"/>
    <w:rsid w:val="001038EA"/>
    <w:rsid w:val="001062BC"/>
    <w:rsid w:val="00113FD9"/>
    <w:rsid w:val="001144E9"/>
    <w:rsid w:val="00117728"/>
    <w:rsid w:val="00123B4A"/>
    <w:rsid w:val="00124156"/>
    <w:rsid w:val="0013244B"/>
    <w:rsid w:val="00140285"/>
    <w:rsid w:val="00140A9A"/>
    <w:rsid w:val="001426F7"/>
    <w:rsid w:val="00143EEC"/>
    <w:rsid w:val="00151124"/>
    <w:rsid w:val="00162F4D"/>
    <w:rsid w:val="00171EAB"/>
    <w:rsid w:val="00171ED0"/>
    <w:rsid w:val="0017708A"/>
    <w:rsid w:val="001808EF"/>
    <w:rsid w:val="00185C8C"/>
    <w:rsid w:val="00191310"/>
    <w:rsid w:val="0019144F"/>
    <w:rsid w:val="00193C9E"/>
    <w:rsid w:val="00196F74"/>
    <w:rsid w:val="001A7B74"/>
    <w:rsid w:val="001B39C8"/>
    <w:rsid w:val="001C1D94"/>
    <w:rsid w:val="001C6915"/>
    <w:rsid w:val="001C6F13"/>
    <w:rsid w:val="001D050B"/>
    <w:rsid w:val="001D0E97"/>
    <w:rsid w:val="001D17B3"/>
    <w:rsid w:val="001D374E"/>
    <w:rsid w:val="001D6A79"/>
    <w:rsid w:val="001E1C0A"/>
    <w:rsid w:val="001E267F"/>
    <w:rsid w:val="001E572D"/>
    <w:rsid w:val="001F2D3D"/>
    <w:rsid w:val="001F3CB3"/>
    <w:rsid w:val="001F6302"/>
    <w:rsid w:val="001F6C58"/>
    <w:rsid w:val="00202DB9"/>
    <w:rsid w:val="002033A6"/>
    <w:rsid w:val="00210D33"/>
    <w:rsid w:val="00212048"/>
    <w:rsid w:val="00215C9C"/>
    <w:rsid w:val="00223876"/>
    <w:rsid w:val="00225F42"/>
    <w:rsid w:val="00226ACE"/>
    <w:rsid w:val="00235F2E"/>
    <w:rsid w:val="00236E59"/>
    <w:rsid w:val="002427AB"/>
    <w:rsid w:val="002467F3"/>
    <w:rsid w:val="00246D9A"/>
    <w:rsid w:val="00263F62"/>
    <w:rsid w:val="00266173"/>
    <w:rsid w:val="00270252"/>
    <w:rsid w:val="002707A8"/>
    <w:rsid w:val="0028454F"/>
    <w:rsid w:val="00291E9B"/>
    <w:rsid w:val="00294C7F"/>
    <w:rsid w:val="002959D1"/>
    <w:rsid w:val="00297443"/>
    <w:rsid w:val="002974A5"/>
    <w:rsid w:val="00297CBD"/>
    <w:rsid w:val="002A11D0"/>
    <w:rsid w:val="002A12C4"/>
    <w:rsid w:val="002B4874"/>
    <w:rsid w:val="002B4BD6"/>
    <w:rsid w:val="002B7D56"/>
    <w:rsid w:val="002C29C9"/>
    <w:rsid w:val="002C5700"/>
    <w:rsid w:val="002C5BA1"/>
    <w:rsid w:val="002C7AA5"/>
    <w:rsid w:val="002D05EE"/>
    <w:rsid w:val="002D3DB2"/>
    <w:rsid w:val="002E0EEC"/>
    <w:rsid w:val="002E55A9"/>
    <w:rsid w:val="002F12F6"/>
    <w:rsid w:val="002F3782"/>
    <w:rsid w:val="002F5C7C"/>
    <w:rsid w:val="002F7070"/>
    <w:rsid w:val="00300018"/>
    <w:rsid w:val="00301467"/>
    <w:rsid w:val="00306931"/>
    <w:rsid w:val="00315236"/>
    <w:rsid w:val="0031537B"/>
    <w:rsid w:val="00317D72"/>
    <w:rsid w:val="003223BE"/>
    <w:rsid w:val="00322C10"/>
    <w:rsid w:val="0032505C"/>
    <w:rsid w:val="003270C1"/>
    <w:rsid w:val="003300D2"/>
    <w:rsid w:val="003319D6"/>
    <w:rsid w:val="003404DD"/>
    <w:rsid w:val="003404F8"/>
    <w:rsid w:val="003431BC"/>
    <w:rsid w:val="0034338A"/>
    <w:rsid w:val="00354CCB"/>
    <w:rsid w:val="00355D88"/>
    <w:rsid w:val="00360654"/>
    <w:rsid w:val="00360F18"/>
    <w:rsid w:val="00362ADA"/>
    <w:rsid w:val="00363E40"/>
    <w:rsid w:val="00364514"/>
    <w:rsid w:val="003655E5"/>
    <w:rsid w:val="00365B83"/>
    <w:rsid w:val="003700AE"/>
    <w:rsid w:val="00370CD9"/>
    <w:rsid w:val="00371460"/>
    <w:rsid w:val="00376546"/>
    <w:rsid w:val="003770D5"/>
    <w:rsid w:val="003802BE"/>
    <w:rsid w:val="003804A0"/>
    <w:rsid w:val="00381F99"/>
    <w:rsid w:val="0038281F"/>
    <w:rsid w:val="00383424"/>
    <w:rsid w:val="00384467"/>
    <w:rsid w:val="00385ED3"/>
    <w:rsid w:val="00387640"/>
    <w:rsid w:val="003911CD"/>
    <w:rsid w:val="003A0DC0"/>
    <w:rsid w:val="003A19FF"/>
    <w:rsid w:val="003A3CEE"/>
    <w:rsid w:val="003A4325"/>
    <w:rsid w:val="003A77DC"/>
    <w:rsid w:val="003B110F"/>
    <w:rsid w:val="003B1A12"/>
    <w:rsid w:val="003B6B0D"/>
    <w:rsid w:val="003B746A"/>
    <w:rsid w:val="003B7A26"/>
    <w:rsid w:val="003C1400"/>
    <w:rsid w:val="003C1B95"/>
    <w:rsid w:val="003C476D"/>
    <w:rsid w:val="003C7D32"/>
    <w:rsid w:val="003D402D"/>
    <w:rsid w:val="003D6E1E"/>
    <w:rsid w:val="003E50F6"/>
    <w:rsid w:val="003E6AFD"/>
    <w:rsid w:val="003F0933"/>
    <w:rsid w:val="003F12B2"/>
    <w:rsid w:val="00401B4D"/>
    <w:rsid w:val="00412904"/>
    <w:rsid w:val="00415288"/>
    <w:rsid w:val="00415765"/>
    <w:rsid w:val="00422A31"/>
    <w:rsid w:val="0042331F"/>
    <w:rsid w:val="00423E20"/>
    <w:rsid w:val="00426DFC"/>
    <w:rsid w:val="00435EC7"/>
    <w:rsid w:val="00443E11"/>
    <w:rsid w:val="004444C9"/>
    <w:rsid w:val="00446113"/>
    <w:rsid w:val="004462F2"/>
    <w:rsid w:val="004501F6"/>
    <w:rsid w:val="00452BE6"/>
    <w:rsid w:val="00452E74"/>
    <w:rsid w:val="00453560"/>
    <w:rsid w:val="004538CB"/>
    <w:rsid w:val="00455275"/>
    <w:rsid w:val="00455F37"/>
    <w:rsid w:val="0046179C"/>
    <w:rsid w:val="004633B1"/>
    <w:rsid w:val="00482D48"/>
    <w:rsid w:val="0048426B"/>
    <w:rsid w:val="00486636"/>
    <w:rsid w:val="004943B1"/>
    <w:rsid w:val="004A126E"/>
    <w:rsid w:val="004A3350"/>
    <w:rsid w:val="004A4147"/>
    <w:rsid w:val="004B5F3C"/>
    <w:rsid w:val="004C1CCA"/>
    <w:rsid w:val="004C206B"/>
    <w:rsid w:val="004C20C3"/>
    <w:rsid w:val="004C4234"/>
    <w:rsid w:val="004D3AFC"/>
    <w:rsid w:val="004D4321"/>
    <w:rsid w:val="004E31E7"/>
    <w:rsid w:val="004F3EC5"/>
    <w:rsid w:val="004F5A71"/>
    <w:rsid w:val="004F6587"/>
    <w:rsid w:val="004F7543"/>
    <w:rsid w:val="004F7823"/>
    <w:rsid w:val="00505775"/>
    <w:rsid w:val="00506E50"/>
    <w:rsid w:val="0051536F"/>
    <w:rsid w:val="005204E7"/>
    <w:rsid w:val="00523131"/>
    <w:rsid w:val="0053541D"/>
    <w:rsid w:val="00536250"/>
    <w:rsid w:val="00541119"/>
    <w:rsid w:val="00541E55"/>
    <w:rsid w:val="00544507"/>
    <w:rsid w:val="00544E17"/>
    <w:rsid w:val="00547E8E"/>
    <w:rsid w:val="00547F40"/>
    <w:rsid w:val="00555C7F"/>
    <w:rsid w:val="00557F8C"/>
    <w:rsid w:val="005654DF"/>
    <w:rsid w:val="00567402"/>
    <w:rsid w:val="0056751A"/>
    <w:rsid w:val="00570F8A"/>
    <w:rsid w:val="00571FBF"/>
    <w:rsid w:val="00575DFF"/>
    <w:rsid w:val="00576F31"/>
    <w:rsid w:val="0058190E"/>
    <w:rsid w:val="0058278D"/>
    <w:rsid w:val="00583749"/>
    <w:rsid w:val="005847A4"/>
    <w:rsid w:val="00584F24"/>
    <w:rsid w:val="00586CD8"/>
    <w:rsid w:val="005871A6"/>
    <w:rsid w:val="00593DBF"/>
    <w:rsid w:val="005967A1"/>
    <w:rsid w:val="005975FF"/>
    <w:rsid w:val="005A3C78"/>
    <w:rsid w:val="005B006E"/>
    <w:rsid w:val="005B1A2D"/>
    <w:rsid w:val="005B2B65"/>
    <w:rsid w:val="005B6EE0"/>
    <w:rsid w:val="005C1DFB"/>
    <w:rsid w:val="005C1E46"/>
    <w:rsid w:val="005D0FEB"/>
    <w:rsid w:val="005D7FEC"/>
    <w:rsid w:val="005E0D71"/>
    <w:rsid w:val="005E2085"/>
    <w:rsid w:val="005E2601"/>
    <w:rsid w:val="005E6463"/>
    <w:rsid w:val="005F1C53"/>
    <w:rsid w:val="005F2C67"/>
    <w:rsid w:val="005F3CA5"/>
    <w:rsid w:val="005F63E6"/>
    <w:rsid w:val="00605B29"/>
    <w:rsid w:val="00607326"/>
    <w:rsid w:val="0060790D"/>
    <w:rsid w:val="006104B6"/>
    <w:rsid w:val="0061225A"/>
    <w:rsid w:val="0061533F"/>
    <w:rsid w:val="00615FAD"/>
    <w:rsid w:val="0061794D"/>
    <w:rsid w:val="006230FC"/>
    <w:rsid w:val="00625E32"/>
    <w:rsid w:val="00627C2A"/>
    <w:rsid w:val="006355F4"/>
    <w:rsid w:val="00640A1B"/>
    <w:rsid w:val="006413BF"/>
    <w:rsid w:val="00646CC7"/>
    <w:rsid w:val="00646F60"/>
    <w:rsid w:val="00647B4D"/>
    <w:rsid w:val="00656D1C"/>
    <w:rsid w:val="00662B1E"/>
    <w:rsid w:val="00663FCE"/>
    <w:rsid w:val="0066437F"/>
    <w:rsid w:val="00666DE6"/>
    <w:rsid w:val="0067162B"/>
    <w:rsid w:val="00673B53"/>
    <w:rsid w:val="006801BD"/>
    <w:rsid w:val="006A006F"/>
    <w:rsid w:val="006A0444"/>
    <w:rsid w:val="006A051E"/>
    <w:rsid w:val="006A1C65"/>
    <w:rsid w:val="006A5F89"/>
    <w:rsid w:val="006B0AA9"/>
    <w:rsid w:val="006B2C19"/>
    <w:rsid w:val="006B2E53"/>
    <w:rsid w:val="006D2E56"/>
    <w:rsid w:val="006D577C"/>
    <w:rsid w:val="006D79D3"/>
    <w:rsid w:val="006E6431"/>
    <w:rsid w:val="006F0626"/>
    <w:rsid w:val="006F0B80"/>
    <w:rsid w:val="006F1257"/>
    <w:rsid w:val="006F1A5B"/>
    <w:rsid w:val="006F1E4E"/>
    <w:rsid w:val="006F2C17"/>
    <w:rsid w:val="006F598D"/>
    <w:rsid w:val="0070413A"/>
    <w:rsid w:val="007101B9"/>
    <w:rsid w:val="00712AB6"/>
    <w:rsid w:val="00712BB3"/>
    <w:rsid w:val="007152CC"/>
    <w:rsid w:val="0071757A"/>
    <w:rsid w:val="00724759"/>
    <w:rsid w:val="00726665"/>
    <w:rsid w:val="007273A1"/>
    <w:rsid w:val="00744CE9"/>
    <w:rsid w:val="00750A63"/>
    <w:rsid w:val="00751745"/>
    <w:rsid w:val="00755118"/>
    <w:rsid w:val="00760870"/>
    <w:rsid w:val="00763779"/>
    <w:rsid w:val="0076442B"/>
    <w:rsid w:val="007703A2"/>
    <w:rsid w:val="00770756"/>
    <w:rsid w:val="007707EA"/>
    <w:rsid w:val="00771771"/>
    <w:rsid w:val="0077188C"/>
    <w:rsid w:val="00772533"/>
    <w:rsid w:val="00772BD3"/>
    <w:rsid w:val="00782681"/>
    <w:rsid w:val="0078353D"/>
    <w:rsid w:val="00783B04"/>
    <w:rsid w:val="00783DAB"/>
    <w:rsid w:val="00784D79"/>
    <w:rsid w:val="00786EFA"/>
    <w:rsid w:val="007905CC"/>
    <w:rsid w:val="00790CBA"/>
    <w:rsid w:val="00791419"/>
    <w:rsid w:val="00795284"/>
    <w:rsid w:val="0079679F"/>
    <w:rsid w:val="007C3987"/>
    <w:rsid w:val="007C3B00"/>
    <w:rsid w:val="007C66C6"/>
    <w:rsid w:val="007C6971"/>
    <w:rsid w:val="007E07E5"/>
    <w:rsid w:val="007E4BDA"/>
    <w:rsid w:val="007F5322"/>
    <w:rsid w:val="007F7358"/>
    <w:rsid w:val="00800CAA"/>
    <w:rsid w:val="00813DA5"/>
    <w:rsid w:val="00813DCB"/>
    <w:rsid w:val="00817E56"/>
    <w:rsid w:val="00824DC0"/>
    <w:rsid w:val="0082530C"/>
    <w:rsid w:val="00833D45"/>
    <w:rsid w:val="00835480"/>
    <w:rsid w:val="0083708F"/>
    <w:rsid w:val="00845B26"/>
    <w:rsid w:val="00851952"/>
    <w:rsid w:val="00855EDD"/>
    <w:rsid w:val="00857A7C"/>
    <w:rsid w:val="008646F6"/>
    <w:rsid w:val="00865517"/>
    <w:rsid w:val="00867FD0"/>
    <w:rsid w:val="0087388C"/>
    <w:rsid w:val="008742A8"/>
    <w:rsid w:val="00874E34"/>
    <w:rsid w:val="00875846"/>
    <w:rsid w:val="00880665"/>
    <w:rsid w:val="00882378"/>
    <w:rsid w:val="00884B36"/>
    <w:rsid w:val="008902FC"/>
    <w:rsid w:val="008908F8"/>
    <w:rsid w:val="00893A24"/>
    <w:rsid w:val="008A39C5"/>
    <w:rsid w:val="008B16A9"/>
    <w:rsid w:val="008B2710"/>
    <w:rsid w:val="008C1BFD"/>
    <w:rsid w:val="008C4424"/>
    <w:rsid w:val="008D7EEA"/>
    <w:rsid w:val="008E51A3"/>
    <w:rsid w:val="008F2D5F"/>
    <w:rsid w:val="008F4BEE"/>
    <w:rsid w:val="008F7ECF"/>
    <w:rsid w:val="009015F3"/>
    <w:rsid w:val="00902CB5"/>
    <w:rsid w:val="009069F2"/>
    <w:rsid w:val="00910F03"/>
    <w:rsid w:val="00911888"/>
    <w:rsid w:val="00912361"/>
    <w:rsid w:val="00915BD3"/>
    <w:rsid w:val="00915E51"/>
    <w:rsid w:val="0091721D"/>
    <w:rsid w:val="00921F8F"/>
    <w:rsid w:val="00926831"/>
    <w:rsid w:val="00935F73"/>
    <w:rsid w:val="009374B0"/>
    <w:rsid w:val="00941430"/>
    <w:rsid w:val="0094290D"/>
    <w:rsid w:val="0094331B"/>
    <w:rsid w:val="00945474"/>
    <w:rsid w:val="00945833"/>
    <w:rsid w:val="00946746"/>
    <w:rsid w:val="00947473"/>
    <w:rsid w:val="0095461A"/>
    <w:rsid w:val="00957CF1"/>
    <w:rsid w:val="009614EF"/>
    <w:rsid w:val="009629B8"/>
    <w:rsid w:val="00975C45"/>
    <w:rsid w:val="00980678"/>
    <w:rsid w:val="009953CE"/>
    <w:rsid w:val="00995B7C"/>
    <w:rsid w:val="009A0944"/>
    <w:rsid w:val="009B106D"/>
    <w:rsid w:val="009B2478"/>
    <w:rsid w:val="009B6769"/>
    <w:rsid w:val="009B7828"/>
    <w:rsid w:val="009C280C"/>
    <w:rsid w:val="009C5648"/>
    <w:rsid w:val="009C704A"/>
    <w:rsid w:val="009D0F65"/>
    <w:rsid w:val="009D12FE"/>
    <w:rsid w:val="009D333D"/>
    <w:rsid w:val="009E2AB9"/>
    <w:rsid w:val="009E73FB"/>
    <w:rsid w:val="009F194E"/>
    <w:rsid w:val="009F251C"/>
    <w:rsid w:val="009F43CD"/>
    <w:rsid w:val="009F4819"/>
    <w:rsid w:val="00A0288F"/>
    <w:rsid w:val="00A0569E"/>
    <w:rsid w:val="00A06550"/>
    <w:rsid w:val="00A07B03"/>
    <w:rsid w:val="00A07EFC"/>
    <w:rsid w:val="00A14CE7"/>
    <w:rsid w:val="00A32BC9"/>
    <w:rsid w:val="00A3321E"/>
    <w:rsid w:val="00A35EBB"/>
    <w:rsid w:val="00A41920"/>
    <w:rsid w:val="00A46D25"/>
    <w:rsid w:val="00A47564"/>
    <w:rsid w:val="00A50C75"/>
    <w:rsid w:val="00A56D30"/>
    <w:rsid w:val="00A62DF0"/>
    <w:rsid w:val="00A63F92"/>
    <w:rsid w:val="00A676D5"/>
    <w:rsid w:val="00A77A6F"/>
    <w:rsid w:val="00A77BED"/>
    <w:rsid w:val="00A87C5E"/>
    <w:rsid w:val="00A924B1"/>
    <w:rsid w:val="00A95CCE"/>
    <w:rsid w:val="00A97FF7"/>
    <w:rsid w:val="00AA2618"/>
    <w:rsid w:val="00AA3BC5"/>
    <w:rsid w:val="00AA6DA1"/>
    <w:rsid w:val="00AA75C8"/>
    <w:rsid w:val="00AB4E81"/>
    <w:rsid w:val="00AB6CA9"/>
    <w:rsid w:val="00AC18AA"/>
    <w:rsid w:val="00AC1E2C"/>
    <w:rsid w:val="00AD5ACE"/>
    <w:rsid w:val="00AE069F"/>
    <w:rsid w:val="00AE4485"/>
    <w:rsid w:val="00AE644D"/>
    <w:rsid w:val="00AF23DF"/>
    <w:rsid w:val="00AF4446"/>
    <w:rsid w:val="00B008CC"/>
    <w:rsid w:val="00B01657"/>
    <w:rsid w:val="00B04E33"/>
    <w:rsid w:val="00B0704D"/>
    <w:rsid w:val="00B15947"/>
    <w:rsid w:val="00B22F5A"/>
    <w:rsid w:val="00B27E93"/>
    <w:rsid w:val="00B376BB"/>
    <w:rsid w:val="00B423DA"/>
    <w:rsid w:val="00B46B5F"/>
    <w:rsid w:val="00B51E3D"/>
    <w:rsid w:val="00B6482C"/>
    <w:rsid w:val="00B650D3"/>
    <w:rsid w:val="00B65905"/>
    <w:rsid w:val="00B801B1"/>
    <w:rsid w:val="00B819E9"/>
    <w:rsid w:val="00B85809"/>
    <w:rsid w:val="00B90CC2"/>
    <w:rsid w:val="00B9150D"/>
    <w:rsid w:val="00B97C23"/>
    <w:rsid w:val="00BA59DC"/>
    <w:rsid w:val="00BA653C"/>
    <w:rsid w:val="00BB38BF"/>
    <w:rsid w:val="00BC00C8"/>
    <w:rsid w:val="00BC3EBF"/>
    <w:rsid w:val="00BC64C7"/>
    <w:rsid w:val="00BC7E0C"/>
    <w:rsid w:val="00BD01D0"/>
    <w:rsid w:val="00BD1251"/>
    <w:rsid w:val="00BD733C"/>
    <w:rsid w:val="00BE36B0"/>
    <w:rsid w:val="00BE3D57"/>
    <w:rsid w:val="00BF157A"/>
    <w:rsid w:val="00BF52EB"/>
    <w:rsid w:val="00C002C0"/>
    <w:rsid w:val="00C023C0"/>
    <w:rsid w:val="00C11AC6"/>
    <w:rsid w:val="00C13DF0"/>
    <w:rsid w:val="00C17E37"/>
    <w:rsid w:val="00C245AB"/>
    <w:rsid w:val="00C26312"/>
    <w:rsid w:val="00C26A93"/>
    <w:rsid w:val="00C26AE0"/>
    <w:rsid w:val="00C27B2C"/>
    <w:rsid w:val="00C27E5F"/>
    <w:rsid w:val="00C31CC5"/>
    <w:rsid w:val="00C4309B"/>
    <w:rsid w:val="00C4432F"/>
    <w:rsid w:val="00C45B8C"/>
    <w:rsid w:val="00C46298"/>
    <w:rsid w:val="00C4739D"/>
    <w:rsid w:val="00C50268"/>
    <w:rsid w:val="00C5117A"/>
    <w:rsid w:val="00C51E94"/>
    <w:rsid w:val="00C542F3"/>
    <w:rsid w:val="00C54C16"/>
    <w:rsid w:val="00C573D0"/>
    <w:rsid w:val="00C660BE"/>
    <w:rsid w:val="00C74232"/>
    <w:rsid w:val="00C7457A"/>
    <w:rsid w:val="00C76313"/>
    <w:rsid w:val="00C77368"/>
    <w:rsid w:val="00C77531"/>
    <w:rsid w:val="00C82AE2"/>
    <w:rsid w:val="00C8409E"/>
    <w:rsid w:val="00C854A7"/>
    <w:rsid w:val="00C867AB"/>
    <w:rsid w:val="00C87269"/>
    <w:rsid w:val="00C90233"/>
    <w:rsid w:val="00C92291"/>
    <w:rsid w:val="00C94979"/>
    <w:rsid w:val="00CA1689"/>
    <w:rsid w:val="00CA4C6B"/>
    <w:rsid w:val="00CA6041"/>
    <w:rsid w:val="00CB55B8"/>
    <w:rsid w:val="00CB763A"/>
    <w:rsid w:val="00CC066C"/>
    <w:rsid w:val="00CC06D1"/>
    <w:rsid w:val="00CC1555"/>
    <w:rsid w:val="00CC5C7C"/>
    <w:rsid w:val="00CC7CBD"/>
    <w:rsid w:val="00CD11BF"/>
    <w:rsid w:val="00CD287D"/>
    <w:rsid w:val="00CE1E7A"/>
    <w:rsid w:val="00CE38A1"/>
    <w:rsid w:val="00CE3CCE"/>
    <w:rsid w:val="00CE5D56"/>
    <w:rsid w:val="00CF0301"/>
    <w:rsid w:val="00CF526A"/>
    <w:rsid w:val="00CF5F07"/>
    <w:rsid w:val="00CF720C"/>
    <w:rsid w:val="00D0134C"/>
    <w:rsid w:val="00D051DE"/>
    <w:rsid w:val="00D056BE"/>
    <w:rsid w:val="00D05AF9"/>
    <w:rsid w:val="00D11394"/>
    <w:rsid w:val="00D1527F"/>
    <w:rsid w:val="00D15B81"/>
    <w:rsid w:val="00D20A1E"/>
    <w:rsid w:val="00D275D5"/>
    <w:rsid w:val="00D32780"/>
    <w:rsid w:val="00D33F95"/>
    <w:rsid w:val="00D3711E"/>
    <w:rsid w:val="00D37DAE"/>
    <w:rsid w:val="00D55929"/>
    <w:rsid w:val="00D61B55"/>
    <w:rsid w:val="00D625E5"/>
    <w:rsid w:val="00D6300F"/>
    <w:rsid w:val="00D6483E"/>
    <w:rsid w:val="00D70EE3"/>
    <w:rsid w:val="00D723B5"/>
    <w:rsid w:val="00D74C50"/>
    <w:rsid w:val="00D76D00"/>
    <w:rsid w:val="00D83028"/>
    <w:rsid w:val="00D83C3F"/>
    <w:rsid w:val="00D84109"/>
    <w:rsid w:val="00D864C2"/>
    <w:rsid w:val="00D8769C"/>
    <w:rsid w:val="00D91F34"/>
    <w:rsid w:val="00DA633A"/>
    <w:rsid w:val="00DA7B66"/>
    <w:rsid w:val="00DA7DA9"/>
    <w:rsid w:val="00DB0F98"/>
    <w:rsid w:val="00DB2185"/>
    <w:rsid w:val="00DB3242"/>
    <w:rsid w:val="00DC214A"/>
    <w:rsid w:val="00DC3150"/>
    <w:rsid w:val="00DC685D"/>
    <w:rsid w:val="00DC6AC0"/>
    <w:rsid w:val="00DC70EA"/>
    <w:rsid w:val="00DD0FB1"/>
    <w:rsid w:val="00DD16B5"/>
    <w:rsid w:val="00DD290D"/>
    <w:rsid w:val="00DD34BE"/>
    <w:rsid w:val="00DD728F"/>
    <w:rsid w:val="00DF1E24"/>
    <w:rsid w:val="00DF4E63"/>
    <w:rsid w:val="00DF5956"/>
    <w:rsid w:val="00DF7D7A"/>
    <w:rsid w:val="00DF7E70"/>
    <w:rsid w:val="00E0557B"/>
    <w:rsid w:val="00E160A6"/>
    <w:rsid w:val="00E20451"/>
    <w:rsid w:val="00E20FB4"/>
    <w:rsid w:val="00E21504"/>
    <w:rsid w:val="00E2238B"/>
    <w:rsid w:val="00E33FAB"/>
    <w:rsid w:val="00E340CD"/>
    <w:rsid w:val="00E444E4"/>
    <w:rsid w:val="00E45133"/>
    <w:rsid w:val="00E462AF"/>
    <w:rsid w:val="00E47C09"/>
    <w:rsid w:val="00E615F1"/>
    <w:rsid w:val="00E661F0"/>
    <w:rsid w:val="00E708FD"/>
    <w:rsid w:val="00E85C90"/>
    <w:rsid w:val="00E85F3B"/>
    <w:rsid w:val="00E878FD"/>
    <w:rsid w:val="00E96676"/>
    <w:rsid w:val="00EA1B32"/>
    <w:rsid w:val="00EA6BE9"/>
    <w:rsid w:val="00EA6F3A"/>
    <w:rsid w:val="00EB0B85"/>
    <w:rsid w:val="00EB2CEF"/>
    <w:rsid w:val="00EB37EB"/>
    <w:rsid w:val="00EB3F0C"/>
    <w:rsid w:val="00EB65DB"/>
    <w:rsid w:val="00EB7D71"/>
    <w:rsid w:val="00EC0809"/>
    <w:rsid w:val="00EC2C1B"/>
    <w:rsid w:val="00EC5046"/>
    <w:rsid w:val="00EC6512"/>
    <w:rsid w:val="00EC7275"/>
    <w:rsid w:val="00ED46B3"/>
    <w:rsid w:val="00ED591D"/>
    <w:rsid w:val="00ED7458"/>
    <w:rsid w:val="00ED7A21"/>
    <w:rsid w:val="00EE106C"/>
    <w:rsid w:val="00EE5C1D"/>
    <w:rsid w:val="00EF0348"/>
    <w:rsid w:val="00EF4795"/>
    <w:rsid w:val="00F034B7"/>
    <w:rsid w:val="00F11513"/>
    <w:rsid w:val="00F2155A"/>
    <w:rsid w:val="00F27ED9"/>
    <w:rsid w:val="00F500BA"/>
    <w:rsid w:val="00F52E4E"/>
    <w:rsid w:val="00F57C21"/>
    <w:rsid w:val="00F60F86"/>
    <w:rsid w:val="00F615FF"/>
    <w:rsid w:val="00F61ECD"/>
    <w:rsid w:val="00F643B2"/>
    <w:rsid w:val="00F66004"/>
    <w:rsid w:val="00F7743D"/>
    <w:rsid w:val="00F80F4C"/>
    <w:rsid w:val="00F858A0"/>
    <w:rsid w:val="00F949BA"/>
    <w:rsid w:val="00FA0305"/>
    <w:rsid w:val="00FA22CB"/>
    <w:rsid w:val="00FA6E37"/>
    <w:rsid w:val="00FA74D7"/>
    <w:rsid w:val="00FB2515"/>
    <w:rsid w:val="00FB25CB"/>
    <w:rsid w:val="00FB345E"/>
    <w:rsid w:val="00FB57B0"/>
    <w:rsid w:val="00FB58FC"/>
    <w:rsid w:val="00FB6079"/>
    <w:rsid w:val="00FC1E9D"/>
    <w:rsid w:val="00FD268B"/>
    <w:rsid w:val="00FD3C42"/>
    <w:rsid w:val="00FF2F83"/>
    <w:rsid w:val="00FF4021"/>
    <w:rsid w:val="0313850D"/>
    <w:rsid w:val="1F347A6B"/>
    <w:rsid w:val="379E457E"/>
    <w:rsid w:val="4A649FD5"/>
    <w:rsid w:val="512856BB"/>
    <w:rsid w:val="5D0C8C09"/>
    <w:rsid w:val="5E351399"/>
    <w:rsid w:val="619FDAE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65F6"/>
  <w15:chartTrackingRefBased/>
  <w15:docId w15:val="{464CC017-699D-4A0F-B3F9-26CE42E675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23876"/>
    <w:pPr>
      <w:pBdr>
        <w:top w:val="none" w:color="000000" w:sz="4" w:space="0"/>
        <w:left w:val="none" w:color="000000" w:sz="4" w:space="0"/>
        <w:bottom w:val="none" w:color="000000" w:sz="4" w:space="0"/>
        <w:right w:val="none" w:color="000000" w:sz="4" w:space="0"/>
        <w:between w:val="none" w:color="000000" w:sz="4" w:space="0"/>
      </w:pBdr>
      <w:spacing w:after="200" w:line="276" w:lineRule="auto"/>
      <w:jc w:val="both"/>
    </w:pPr>
    <w:rPr>
      <w:rFonts w:ascii="Calibri" w:hAnsi="Calibri" w:eastAsia="Calibri" w:cs="Times New Roman"/>
      <w:sz w:val="24"/>
      <w:szCs w:val="24"/>
    </w:rPr>
  </w:style>
  <w:style w:type="paragraph" w:styleId="Kop1">
    <w:name w:val="heading 1"/>
    <w:basedOn w:val="Standaard"/>
    <w:next w:val="Standaard"/>
    <w:link w:val="Kop1Char"/>
    <w:uiPriority w:val="9"/>
    <w:qFormat/>
    <w:rsid w:val="00DF595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DF595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link w:val="LijstalineaChar"/>
    <w:uiPriority w:val="34"/>
    <w:qFormat/>
    <w:rsid w:val="00223876"/>
    <w:pPr>
      <w:ind w:left="720"/>
      <w:contextualSpacing/>
    </w:pPr>
  </w:style>
  <w:style w:type="character" w:styleId="Hyperlink">
    <w:name w:val="Hyperlink"/>
    <w:uiPriority w:val="99"/>
    <w:unhideWhenUsed/>
    <w:rsid w:val="00223876"/>
    <w:rPr>
      <w:color w:val="0000FF"/>
      <w:u w:val="single"/>
    </w:rPr>
  </w:style>
  <w:style w:type="character" w:styleId="Verwijzingopmerking">
    <w:name w:val="annotation reference"/>
    <w:basedOn w:val="Standaardalinea-lettertype"/>
    <w:uiPriority w:val="99"/>
    <w:semiHidden/>
    <w:unhideWhenUsed/>
    <w:rsid w:val="00223876"/>
    <w:rPr>
      <w:sz w:val="16"/>
      <w:szCs w:val="16"/>
    </w:rPr>
  </w:style>
  <w:style w:type="paragraph" w:styleId="Tekstopmerking">
    <w:name w:val="annotation text"/>
    <w:basedOn w:val="Standaard"/>
    <w:link w:val="TekstopmerkingChar"/>
    <w:uiPriority w:val="99"/>
    <w:unhideWhenUsed/>
    <w:rsid w:val="00223876"/>
    <w:pPr>
      <w:spacing w:line="240" w:lineRule="auto"/>
    </w:pPr>
    <w:rPr>
      <w:sz w:val="20"/>
      <w:szCs w:val="20"/>
    </w:rPr>
  </w:style>
  <w:style w:type="character" w:styleId="TekstopmerkingChar" w:customStyle="1">
    <w:name w:val="Tekst opmerking Char"/>
    <w:basedOn w:val="Standaardalinea-lettertype"/>
    <w:link w:val="Tekstopmerking"/>
    <w:uiPriority w:val="99"/>
    <w:rsid w:val="00223876"/>
    <w:rPr>
      <w:rFonts w:ascii="Calibri" w:hAnsi="Calibri" w:eastAsia="Calibri" w:cs="Times New Roman"/>
      <w:sz w:val="20"/>
      <w:szCs w:val="20"/>
      <w:lang w:val="fr-BE"/>
    </w:rPr>
  </w:style>
  <w:style w:type="paragraph" w:styleId="Titel">
    <w:name w:val="Title"/>
    <w:basedOn w:val="Standaard"/>
    <w:next w:val="Standaard"/>
    <w:link w:val="TitelChar"/>
    <w:uiPriority w:val="10"/>
    <w:qFormat/>
    <w:rsid w:val="00223876"/>
    <w:pPr>
      <w:pBdr>
        <w:bottom w:val="single" w:color="auto" w:sz="4" w:space="1"/>
      </w:pBdr>
      <w:spacing w:after="240" w:line="240" w:lineRule="auto"/>
      <w:contextualSpacing/>
      <w:jc w:val="center"/>
    </w:pPr>
    <w:rPr>
      <w:rFonts w:ascii="Calibri Light" w:hAnsi="Calibri Light" w:eastAsia="Calibri Light" w:cs="Calibri Light"/>
      <w:b/>
      <w:color w:val="4046C1"/>
      <w:spacing w:val="-10"/>
      <w:sz w:val="40"/>
      <w:szCs w:val="40"/>
    </w:rPr>
  </w:style>
  <w:style w:type="character" w:styleId="TitelChar" w:customStyle="1">
    <w:name w:val="Titel Char"/>
    <w:basedOn w:val="Standaardalinea-lettertype"/>
    <w:link w:val="Titel"/>
    <w:uiPriority w:val="10"/>
    <w:rsid w:val="00223876"/>
    <w:rPr>
      <w:rFonts w:ascii="Calibri Light" w:hAnsi="Calibri Light" w:eastAsia="Calibri Light" w:cs="Calibri Light"/>
      <w:b/>
      <w:color w:val="4046C1"/>
      <w:spacing w:val="-10"/>
      <w:sz w:val="40"/>
      <w:szCs w:val="40"/>
      <w:lang w:val="fr-BE"/>
    </w:rPr>
  </w:style>
  <w:style w:type="paragraph" w:styleId="Style1" w:customStyle="1">
    <w:name w:val="Style1"/>
    <w:basedOn w:val="Lijstalinea"/>
    <w:link w:val="Style1Car"/>
    <w:qFormat/>
    <w:rsid w:val="00223876"/>
    <w:pPr>
      <w:numPr>
        <w:numId w:val="1"/>
      </w:numPr>
      <w:spacing w:before="240" w:after="240" w:line="240" w:lineRule="auto"/>
    </w:pPr>
    <w:rPr>
      <w:b/>
      <w:color w:val="4046C1"/>
      <w:sz w:val="32"/>
      <w:szCs w:val="32"/>
    </w:rPr>
  </w:style>
  <w:style w:type="paragraph" w:styleId="Style2" w:customStyle="1">
    <w:name w:val="Style2"/>
    <w:basedOn w:val="Style1"/>
    <w:qFormat/>
    <w:rsid w:val="00223876"/>
    <w:pPr>
      <w:keepNext/>
      <w:numPr>
        <w:ilvl w:val="1"/>
      </w:numPr>
    </w:pPr>
    <w:rPr>
      <w:b w:val="0"/>
      <w:bCs/>
      <w:sz w:val="28"/>
      <w:szCs w:val="28"/>
    </w:rPr>
  </w:style>
  <w:style w:type="character" w:styleId="LijstalineaChar" w:customStyle="1">
    <w:name w:val="Lijstalinea Char"/>
    <w:basedOn w:val="Standaardalinea-lettertype"/>
    <w:link w:val="Lijstalinea"/>
    <w:uiPriority w:val="34"/>
    <w:rsid w:val="00223876"/>
    <w:rPr>
      <w:rFonts w:ascii="Calibri" w:hAnsi="Calibri" w:eastAsia="Calibri" w:cs="Times New Roman"/>
      <w:sz w:val="24"/>
      <w:szCs w:val="24"/>
      <w:lang w:val="fr-BE"/>
    </w:rPr>
  </w:style>
  <w:style w:type="character" w:styleId="Style1Car" w:customStyle="1">
    <w:name w:val="Style1 Car"/>
    <w:basedOn w:val="LijstalineaChar"/>
    <w:link w:val="Style1"/>
    <w:rsid w:val="00223876"/>
    <w:rPr>
      <w:rFonts w:ascii="Calibri" w:hAnsi="Calibri" w:eastAsia="Calibri" w:cs="Times New Roman"/>
      <w:b/>
      <w:color w:val="4046C1"/>
      <w:sz w:val="32"/>
      <w:szCs w:val="32"/>
      <w:lang w:val="fr-BE"/>
    </w:rPr>
  </w:style>
  <w:style w:type="paragraph" w:styleId="Lijstalinea1" w:customStyle="1">
    <w:name w:val="Lijstalinea1"/>
    <w:basedOn w:val="Standaard"/>
    <w:link w:val="Lijstalinea1Car"/>
    <w:uiPriority w:val="34"/>
    <w:qFormat/>
    <w:rsid w:val="00223876"/>
    <w:pPr>
      <w:ind w:left="720"/>
      <w:contextualSpacing/>
      <w:jc w:val="left"/>
    </w:pPr>
    <w:rPr>
      <w:sz w:val="22"/>
      <w:szCs w:val="22"/>
      <w:lang w:eastAsia="zh-CN"/>
    </w:rPr>
  </w:style>
  <w:style w:type="character" w:styleId="Lijstalinea1Car" w:customStyle="1">
    <w:name w:val="Lijstalinea1 Car"/>
    <w:basedOn w:val="Standaardalinea-lettertype"/>
    <w:link w:val="Lijstalinea1"/>
    <w:uiPriority w:val="34"/>
    <w:rsid w:val="00223876"/>
    <w:rPr>
      <w:rFonts w:ascii="Calibri" w:hAnsi="Calibri" w:eastAsia="Calibri" w:cs="Times New Roman"/>
      <w:lang w:val="fr-BE" w:eastAsia="zh-CN"/>
    </w:rPr>
  </w:style>
  <w:style w:type="paragraph" w:styleId="Ballontekst">
    <w:name w:val="Balloon Text"/>
    <w:basedOn w:val="Standaard"/>
    <w:link w:val="BallontekstChar"/>
    <w:uiPriority w:val="99"/>
    <w:semiHidden/>
    <w:unhideWhenUsed/>
    <w:rsid w:val="00223876"/>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223876"/>
    <w:rPr>
      <w:rFonts w:ascii="Segoe UI" w:hAnsi="Segoe UI" w:eastAsia="Calibri" w:cs="Segoe UI"/>
      <w:sz w:val="18"/>
      <w:szCs w:val="18"/>
      <w:lang w:val="fr-BE"/>
    </w:rPr>
  </w:style>
  <w:style w:type="paragraph" w:styleId="Koptekst">
    <w:name w:val="header"/>
    <w:basedOn w:val="Standaard"/>
    <w:link w:val="KoptekstChar"/>
    <w:uiPriority w:val="99"/>
    <w:unhideWhenUsed/>
    <w:rsid w:val="006F0626"/>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6F0626"/>
    <w:rPr>
      <w:rFonts w:ascii="Calibri" w:hAnsi="Calibri" w:eastAsia="Calibri" w:cs="Times New Roman"/>
      <w:sz w:val="24"/>
      <w:szCs w:val="24"/>
      <w:lang w:val="fr-BE"/>
    </w:rPr>
  </w:style>
  <w:style w:type="paragraph" w:styleId="Voettekst">
    <w:name w:val="footer"/>
    <w:basedOn w:val="Standaard"/>
    <w:link w:val="VoettekstChar"/>
    <w:uiPriority w:val="99"/>
    <w:unhideWhenUsed/>
    <w:rsid w:val="006F0626"/>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6F0626"/>
    <w:rPr>
      <w:rFonts w:ascii="Calibri" w:hAnsi="Calibri" w:eastAsia="Calibri" w:cs="Times New Roman"/>
      <w:sz w:val="24"/>
      <w:szCs w:val="24"/>
      <w:lang w:val="fr-BE"/>
    </w:rPr>
  </w:style>
  <w:style w:type="paragraph" w:styleId="Onderwerpvanopmerking">
    <w:name w:val="annotation subject"/>
    <w:basedOn w:val="Tekstopmerking"/>
    <w:next w:val="Tekstopmerking"/>
    <w:link w:val="OnderwerpvanopmerkingChar"/>
    <w:uiPriority w:val="99"/>
    <w:semiHidden/>
    <w:unhideWhenUsed/>
    <w:rsid w:val="006A5F89"/>
    <w:rPr>
      <w:b/>
      <w:bCs/>
    </w:rPr>
  </w:style>
  <w:style w:type="character" w:styleId="OnderwerpvanopmerkingChar" w:customStyle="1">
    <w:name w:val="Onderwerp van opmerking Char"/>
    <w:basedOn w:val="TekstopmerkingChar"/>
    <w:link w:val="Onderwerpvanopmerking"/>
    <w:uiPriority w:val="99"/>
    <w:semiHidden/>
    <w:rsid w:val="006A5F89"/>
    <w:rPr>
      <w:rFonts w:ascii="Calibri" w:hAnsi="Calibri" w:eastAsia="Calibri" w:cs="Times New Roman"/>
      <w:b/>
      <w:bCs/>
      <w:sz w:val="20"/>
      <w:szCs w:val="20"/>
      <w:lang w:val="fr-BE"/>
    </w:rPr>
  </w:style>
  <w:style w:type="paragraph" w:styleId="Voetnoottekst">
    <w:name w:val="footnote text"/>
    <w:basedOn w:val="Standaard"/>
    <w:link w:val="VoetnoottekstChar"/>
    <w:uiPriority w:val="99"/>
    <w:semiHidden/>
    <w:unhideWhenUsed/>
    <w:rsid w:val="00CC5C7C"/>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CC5C7C"/>
    <w:rPr>
      <w:rFonts w:ascii="Calibri" w:hAnsi="Calibri" w:eastAsia="Calibri" w:cs="Times New Roman"/>
      <w:sz w:val="20"/>
      <w:szCs w:val="20"/>
      <w:lang w:val="fr-BE"/>
    </w:rPr>
  </w:style>
  <w:style w:type="character" w:styleId="Voetnootmarkering">
    <w:name w:val="footnote reference"/>
    <w:basedOn w:val="Standaardalinea-lettertype"/>
    <w:uiPriority w:val="99"/>
    <w:semiHidden/>
    <w:unhideWhenUsed/>
    <w:rsid w:val="00CC5C7C"/>
    <w:rPr>
      <w:vertAlign w:val="superscript"/>
    </w:rPr>
  </w:style>
  <w:style w:type="character" w:styleId="Onopgelostemelding">
    <w:name w:val="Unresolved Mention"/>
    <w:basedOn w:val="Standaardalinea-lettertype"/>
    <w:uiPriority w:val="99"/>
    <w:semiHidden/>
    <w:unhideWhenUsed/>
    <w:rsid w:val="00CC5C7C"/>
    <w:rPr>
      <w:color w:val="605E5C"/>
      <w:shd w:val="clear" w:color="auto" w:fill="E1DFDD"/>
    </w:rPr>
  </w:style>
  <w:style w:type="paragraph" w:styleId="Revisie">
    <w:name w:val="Revision"/>
    <w:hidden/>
    <w:uiPriority w:val="99"/>
    <w:semiHidden/>
    <w:rsid w:val="003700AE"/>
    <w:pPr>
      <w:spacing w:after="0" w:line="240" w:lineRule="auto"/>
    </w:pPr>
    <w:rPr>
      <w:rFonts w:ascii="Calibri" w:hAnsi="Calibri" w:eastAsia="Calibri" w:cs="Times New Roman"/>
      <w:sz w:val="24"/>
      <w:szCs w:val="24"/>
    </w:rPr>
  </w:style>
  <w:style w:type="table" w:styleId="Tabelraster">
    <w:name w:val="Table Grid"/>
    <w:basedOn w:val="Standaardtabel"/>
    <w:uiPriority w:val="39"/>
    <w:rsid w:val="005847A4"/>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1Char" w:customStyle="1">
    <w:name w:val="Kop 1 Char"/>
    <w:basedOn w:val="Standaardalinea-lettertype"/>
    <w:link w:val="Kop1"/>
    <w:uiPriority w:val="9"/>
    <w:rsid w:val="00DF5956"/>
    <w:rPr>
      <w:rFonts w:asciiTheme="majorHAnsi" w:hAnsiTheme="majorHAnsi" w:eastAsiaTheme="majorEastAsia" w:cstheme="majorBidi"/>
      <w:color w:val="2F5496" w:themeColor="accent1" w:themeShade="BF"/>
      <w:sz w:val="32"/>
      <w:szCs w:val="32"/>
      <w:lang w:val="fr-BE"/>
    </w:rPr>
  </w:style>
  <w:style w:type="character" w:styleId="Kop2Char" w:customStyle="1">
    <w:name w:val="Kop 2 Char"/>
    <w:basedOn w:val="Standaardalinea-lettertype"/>
    <w:link w:val="Kop2"/>
    <w:uiPriority w:val="9"/>
    <w:rsid w:val="00DF5956"/>
    <w:rPr>
      <w:rFonts w:asciiTheme="majorHAnsi" w:hAnsiTheme="majorHAnsi" w:eastAsiaTheme="majorEastAsia" w:cstheme="majorBidi"/>
      <w:color w:val="2F5496" w:themeColor="accent1" w:themeShade="BF"/>
      <w:sz w:val="26"/>
      <w:szCs w:val="26"/>
      <w:lang w:val="fr-BE"/>
    </w:rPr>
  </w:style>
  <w:style w:type="paragraph" w:styleId="Kopvaninhoudsopgave">
    <w:name w:val="TOC Heading"/>
    <w:basedOn w:val="Kop1"/>
    <w:next w:val="Standaard"/>
    <w:uiPriority w:val="39"/>
    <w:unhideWhenUsed/>
    <w:qFormat/>
    <w:rsid w:val="00DF5956"/>
    <w:pPr>
      <w:pBdr>
        <w:top w:val="none" w:color="auto" w:sz="0" w:space="0"/>
        <w:left w:val="none" w:color="auto" w:sz="0" w:space="0"/>
        <w:bottom w:val="none" w:color="auto" w:sz="0" w:space="0"/>
        <w:right w:val="none" w:color="auto" w:sz="0" w:space="0"/>
        <w:between w:val="none" w:color="auto" w:sz="0" w:space="0"/>
      </w:pBdr>
      <w:spacing w:line="259" w:lineRule="auto"/>
      <w:jc w:val="left"/>
      <w:outlineLvl w:val="9"/>
    </w:pPr>
    <w:rPr>
      <w:lang w:eastAsia="nl-BE"/>
    </w:rPr>
  </w:style>
  <w:style w:type="paragraph" w:styleId="Inhopg1">
    <w:name w:val="toc 1"/>
    <w:basedOn w:val="Standaard"/>
    <w:next w:val="Standaard"/>
    <w:autoRedefine/>
    <w:uiPriority w:val="39"/>
    <w:unhideWhenUsed/>
    <w:rsid w:val="00851952"/>
    <w:pPr>
      <w:tabs>
        <w:tab w:val="left" w:pos="440"/>
        <w:tab w:val="right" w:leader="dot" w:pos="9062"/>
      </w:tabs>
      <w:spacing w:after="100"/>
    </w:pPr>
  </w:style>
  <w:style w:type="paragraph" w:styleId="Inhopg2">
    <w:name w:val="toc 2"/>
    <w:basedOn w:val="Standaard"/>
    <w:next w:val="Standaard"/>
    <w:autoRedefine/>
    <w:uiPriority w:val="39"/>
    <w:unhideWhenUsed/>
    <w:rsid w:val="00DF5956"/>
    <w:pPr>
      <w:spacing w:after="100"/>
      <w:ind w:left="240"/>
    </w:pPr>
  </w:style>
  <w:style w:type="character" w:styleId="GevolgdeHyperlink">
    <w:name w:val="FollowedHyperlink"/>
    <w:basedOn w:val="Standaardalinea-lettertype"/>
    <w:uiPriority w:val="99"/>
    <w:semiHidden/>
    <w:unhideWhenUsed/>
    <w:rsid w:val="00547E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19331">
      <w:bodyDiv w:val="1"/>
      <w:marLeft w:val="0"/>
      <w:marRight w:val="0"/>
      <w:marTop w:val="0"/>
      <w:marBottom w:val="0"/>
      <w:divBdr>
        <w:top w:val="none" w:sz="0" w:space="0" w:color="auto"/>
        <w:left w:val="none" w:sz="0" w:space="0" w:color="auto"/>
        <w:bottom w:val="none" w:sz="0" w:space="0" w:color="auto"/>
        <w:right w:val="none" w:sz="0" w:space="0" w:color="auto"/>
      </w:divBdr>
    </w:div>
    <w:div w:id="121735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noviris.brussels/fr/program/sp-event" TargetMode="External" Id="rId8" /><Relationship Type="http://schemas.openxmlformats.org/officeDocument/2006/relationships/hyperlink" Target="https://innoviris.brussels/sites/default/files/documents/directives_comptables_2024.pdf"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yperlink" Target="mailto:funding-request@innoviris.brussels"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mailto:e-invoicing@innoviris.brussel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file:///C:\Users\eceuleers\Downloads\x" TargetMode="External" Id="rId11" /><Relationship Type="http://schemas.openxmlformats.org/officeDocument/2006/relationships/webSettings" Target="webSettings.xml" Id="rId5" /><Relationship Type="http://schemas.openxmlformats.org/officeDocument/2006/relationships/hyperlink" Target="mailto:reporting@innoviris.brussels" TargetMode="External" Id="rId15" /><Relationship Type="http://schemas.openxmlformats.org/officeDocument/2006/relationships/customXml" Target="../customXml/item4.xml" Id="rId23" /><Relationship Type="http://schemas.openxmlformats.org/officeDocument/2006/relationships/hyperlink" Target="file:///C:\Users\eceuleers\Downloads\x"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file:///C:\Users\eceuleers\Downloads\x" TargetMode="External" Id="rId9" /><Relationship Type="http://schemas.openxmlformats.org/officeDocument/2006/relationships/hyperlink" Target="file:///C:\Users\eceuleers\Downloads\innoviris.brussels\SP-PROGRAM" TargetMode="External" Id="rId14" /><Relationship Type="http://schemas.openxmlformats.org/officeDocument/2006/relationships/customXml" Target="../customXml/item3.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3DABC9B427AE4484AE2188AA87DF00" ma:contentTypeVersion="4" ma:contentTypeDescription="Crée un document." ma:contentTypeScope="" ma:versionID="95ce14e91679adccceb1ce62a2b03817">
  <xsd:schema xmlns:xsd="http://www.w3.org/2001/XMLSchema" xmlns:xs="http://www.w3.org/2001/XMLSchema" xmlns:p="http://schemas.microsoft.com/office/2006/metadata/properties" xmlns:ns2="23a0d1c9-6cce-4298-8b70-7d34478f70b5" targetNamespace="http://schemas.microsoft.com/office/2006/metadata/properties" ma:root="true" ma:fieldsID="7bd13d2fcac122473c5f4df552ee4839" ns2:_="">
    <xsd:import namespace="23a0d1c9-6cce-4298-8b70-7d34478f70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0d1c9-6cce-4298-8b70-7d34478f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C7C63-D51B-477F-B799-B91B20C826A0}">
  <ds:schemaRefs>
    <ds:schemaRef ds:uri="http://schemas.openxmlformats.org/officeDocument/2006/bibliography"/>
  </ds:schemaRefs>
</ds:datastoreItem>
</file>

<file path=customXml/itemProps2.xml><?xml version="1.0" encoding="utf-8"?>
<ds:datastoreItem xmlns:ds="http://schemas.openxmlformats.org/officeDocument/2006/customXml" ds:itemID="{0A5031B4-27F7-43EF-B733-032EB9C87899}"/>
</file>

<file path=customXml/itemProps3.xml><?xml version="1.0" encoding="utf-8"?>
<ds:datastoreItem xmlns:ds="http://schemas.openxmlformats.org/officeDocument/2006/customXml" ds:itemID="{AF1E3682-52F3-43C8-8C7F-08F21AD3C067}"/>
</file>

<file path=customXml/itemProps4.xml><?xml version="1.0" encoding="utf-8"?>
<ds:datastoreItem xmlns:ds="http://schemas.openxmlformats.org/officeDocument/2006/customXml" ds:itemID="{DABE0E1C-84DD-4E98-943B-313C90BAD2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Evy Ceuleers</dc:creator>
  <keywords/>
  <dc:description/>
  <lastModifiedBy>Monserrate Pascual Roca</lastModifiedBy>
  <revision>5</revision>
  <dcterms:created xsi:type="dcterms:W3CDTF">2025-03-14T16:28:00.0000000Z</dcterms:created>
  <dcterms:modified xsi:type="dcterms:W3CDTF">2026-01-05T11:15:21.4360846Z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0x010100D33DABC9B427AE4484AE2188AA87DF00</vt:lpwstr>
  </property>
</Properties>
</file>