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ED73" w14:textId="77777777" w:rsidR="0060711F" w:rsidRPr="005C0BE3" w:rsidRDefault="0060711F" w:rsidP="0060711F">
      <w:pPr>
        <w:pBdr>
          <w:top w:val="single" w:sz="4" w:space="1" w:color="auto"/>
          <w:left w:val="single" w:sz="4" w:space="4" w:color="auto"/>
          <w:bottom w:val="single" w:sz="4" w:space="1" w:color="auto"/>
          <w:right w:val="single" w:sz="4" w:space="4" w:color="auto"/>
        </w:pBdr>
        <w:jc w:val="center"/>
        <w:rPr>
          <w:rFonts w:ascii="Open Sans" w:hAnsi="Open Sans" w:cs="Open Sans"/>
          <w:b/>
          <w:bCs/>
          <w:color w:val="FF0000"/>
          <w:sz w:val="21"/>
          <w:szCs w:val="21"/>
          <w:u w:val="single"/>
        </w:rPr>
      </w:pPr>
      <w:r>
        <w:rPr>
          <w:rFonts w:ascii="Open Sans" w:hAnsi="Open Sans"/>
          <w:b/>
          <w:color w:val="FF0000"/>
          <w:sz w:val="21"/>
          <w:u w:val="single"/>
        </w:rPr>
        <w:t>CLAUSE DE NON-RESPONSABILITÉ</w:t>
      </w:r>
    </w:p>
    <w:p w14:paraId="5A05FDFD" w14:textId="77777777" w:rsidR="0060711F" w:rsidRPr="005C0BE3" w:rsidRDefault="0060711F" w:rsidP="0060711F">
      <w:pPr>
        <w:pBdr>
          <w:top w:val="single" w:sz="4" w:space="1" w:color="auto"/>
          <w:left w:val="single" w:sz="4" w:space="4" w:color="auto"/>
          <w:bottom w:val="single" w:sz="4" w:space="1" w:color="auto"/>
          <w:right w:val="single" w:sz="4" w:space="4" w:color="auto"/>
        </w:pBdr>
        <w:rPr>
          <w:rFonts w:ascii="Open Sans" w:hAnsi="Open Sans" w:cs="Open Sans"/>
          <w:b/>
          <w:bCs/>
          <w:color w:val="FF0000"/>
          <w:sz w:val="21"/>
          <w:szCs w:val="21"/>
          <w:u w:val="single"/>
        </w:rPr>
      </w:pPr>
    </w:p>
    <w:p w14:paraId="32EDA901" w14:textId="77777777" w:rsidR="0060711F" w:rsidRDefault="0060711F" w:rsidP="00D615E1">
      <w:pPr>
        <w:pBdr>
          <w:top w:val="single" w:sz="4" w:space="1" w:color="auto"/>
          <w:left w:val="single" w:sz="4" w:space="4" w:color="auto"/>
          <w:bottom w:val="single" w:sz="4" w:space="1" w:color="auto"/>
          <w:right w:val="single" w:sz="4" w:space="4" w:color="auto"/>
        </w:pBdr>
        <w:jc w:val="both"/>
        <w:rPr>
          <w:rFonts w:ascii="Open Sans" w:hAnsi="Open Sans" w:cs="Open Sans"/>
          <w:b/>
          <w:bCs/>
          <w:color w:val="FF0000"/>
          <w:sz w:val="20"/>
          <w:szCs w:val="20"/>
          <w:u w:val="single"/>
        </w:rPr>
      </w:pPr>
      <w:r>
        <w:rPr>
          <w:rFonts w:ascii="Open Sans" w:hAnsi="Open Sans"/>
          <w:b/>
          <w:color w:val="FF0000"/>
          <w:sz w:val="20"/>
          <w:u w:val="single"/>
        </w:rPr>
        <w:t>INNOVIRIS NE PEUT PAS ÊTRE TENUE POUR RESPONSABLE DE L'UTILISATION QUI EST FAITE DU PRÉSENT DOCUMENT. INNOVIRIS NE PEUT DONC PAS ÊTRE TENUE POUR RESPONSABLE DES ÉVENTUELLES DISPOSITIONS ERRONÉES FIGURANT DANS LE PRÉSENT DOCUMENT, ENTRE AUTRES. LA REPRISE DES TEXTES ET AUTRES DOCUMENTS EST TOUJOURS ASSURÉE SOUS L'ENTIÈRE RESPONSABILITÉ DE L'UTILISATEUR.</w:t>
      </w:r>
    </w:p>
    <w:p w14:paraId="172EA63A" w14:textId="77777777" w:rsidR="0060711F" w:rsidRPr="0060711F" w:rsidRDefault="0060711F" w:rsidP="00D615E1">
      <w:pPr>
        <w:pBdr>
          <w:top w:val="single" w:sz="4" w:space="1" w:color="auto"/>
          <w:left w:val="single" w:sz="4" w:space="4" w:color="auto"/>
          <w:bottom w:val="single" w:sz="4" w:space="1" w:color="auto"/>
          <w:right w:val="single" w:sz="4" w:space="4" w:color="auto"/>
        </w:pBdr>
        <w:jc w:val="both"/>
        <w:rPr>
          <w:rFonts w:ascii="Open Sans" w:hAnsi="Open Sans" w:cs="Open Sans"/>
          <w:b/>
          <w:bCs/>
          <w:color w:val="FF0000"/>
          <w:sz w:val="20"/>
          <w:szCs w:val="20"/>
          <w:u w:val="single"/>
        </w:rPr>
      </w:pPr>
    </w:p>
    <w:p w14:paraId="627959E3" w14:textId="77777777" w:rsidR="0060711F" w:rsidRDefault="0060711F" w:rsidP="00D615E1">
      <w:pPr>
        <w:pBdr>
          <w:top w:val="single" w:sz="4" w:space="1" w:color="auto"/>
          <w:left w:val="single" w:sz="4" w:space="4" w:color="auto"/>
          <w:bottom w:val="single" w:sz="4" w:space="1" w:color="auto"/>
          <w:right w:val="single" w:sz="4" w:space="4" w:color="auto"/>
        </w:pBdr>
        <w:jc w:val="both"/>
        <w:rPr>
          <w:rFonts w:ascii="Open Sans" w:hAnsi="Open Sans" w:cs="Open Sans"/>
          <w:b/>
          <w:bCs/>
          <w:color w:val="FF0000"/>
          <w:sz w:val="20"/>
          <w:szCs w:val="20"/>
          <w:u w:val="single"/>
        </w:rPr>
      </w:pPr>
      <w:r>
        <w:rPr>
          <w:rFonts w:ascii="Open Sans" w:hAnsi="Open Sans"/>
          <w:b/>
          <w:color w:val="FF0000"/>
          <w:sz w:val="20"/>
          <w:u w:val="single"/>
        </w:rPr>
        <w:t>IL S'AGIT PAR AILLEURS D'UN DOCUMENT ÉVOLUTIF, POUVANT FAIRE L'OBJET DE MODIFICATIONS ET D'OPTIMISATIONS ULTÉRIEURES. IL EST DEMANDÉ À L'UTILISATEUR DU DOCUMENT D'ADRESSER LES ÉVENTUELLES QUESTIONS OU REMARQUES À INNOVIRIS.</w:t>
      </w:r>
    </w:p>
    <w:p w14:paraId="1C13005D" w14:textId="77777777" w:rsidR="0060711F" w:rsidRPr="0060711F"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rPr>
      </w:pPr>
    </w:p>
    <w:p w14:paraId="647A4117" w14:textId="77777777" w:rsidR="0060711F"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rPr>
      </w:pPr>
      <w:r>
        <w:rPr>
          <w:rStyle w:val="Lienhypertexte"/>
          <w:rFonts w:ascii="Open Sans" w:hAnsi="Open Sans"/>
          <w:b/>
          <w:color w:val="FF0000"/>
          <w:sz w:val="20"/>
        </w:rPr>
        <w:t>EXPLICATIONS ACCOMPAGNANT LES DOCUMENTS MODÈLES</w:t>
      </w:r>
    </w:p>
    <w:p w14:paraId="7AC148EC" w14:textId="77777777" w:rsidR="0060711F" w:rsidRPr="0060711F"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rPr>
      </w:pPr>
    </w:p>
    <w:p w14:paraId="411FF136" w14:textId="77777777" w:rsidR="0060711F"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rPr>
      </w:pPr>
      <w:r>
        <w:rPr>
          <w:rStyle w:val="Lienhypertexte"/>
          <w:rFonts w:ascii="Open Sans" w:hAnsi="Open Sans"/>
          <w:b/>
          <w:color w:val="FF0000"/>
          <w:sz w:val="20"/>
        </w:rPr>
        <w:t>LE TEXTE EN ROUGE CONCERNE DES INSTRUCTIONS OU DES EXPLICATIONS ET DOIT ÊTRE SUPPRIMÉ AVANT LA PUBLICATION DU DOCUMENT.</w:t>
      </w:r>
    </w:p>
    <w:p w14:paraId="733B33CC" w14:textId="77777777" w:rsidR="0060711F" w:rsidRPr="0060711F"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rPr>
      </w:pPr>
    </w:p>
    <w:p w14:paraId="01758701" w14:textId="77777777" w:rsidR="0060711F"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92D050"/>
          <w:sz w:val="20"/>
          <w:szCs w:val="20"/>
        </w:rPr>
      </w:pPr>
      <w:r>
        <w:rPr>
          <w:rStyle w:val="Lienhypertexte"/>
          <w:rFonts w:ascii="Open Sans" w:hAnsi="Open Sans"/>
          <w:b/>
          <w:color w:val="92D050"/>
          <w:sz w:val="20"/>
        </w:rPr>
        <w:t>LE TEXTE EN VERT EST OPTIONNEL ET PEUT ÊTRE SUPPRIMÉ DU DOCUMENT. DANS CERTAINS CAS, IL FAUT OBLIGATOIREMENT FAIRE UN CHOIX ENTRE DIFFÉRENTS PASSAGES INDIQUÉS EN VERT.</w:t>
      </w:r>
    </w:p>
    <w:p w14:paraId="2ABE1AA0" w14:textId="77777777" w:rsidR="0060711F" w:rsidRPr="0060711F"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92D050"/>
          <w:sz w:val="20"/>
          <w:szCs w:val="20"/>
        </w:rPr>
      </w:pPr>
    </w:p>
    <w:p w14:paraId="14C8D170" w14:textId="34E2C993" w:rsidR="0060711F" w:rsidRPr="0060711F"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000000" w:themeColor="text1"/>
          <w:sz w:val="20"/>
          <w:szCs w:val="20"/>
        </w:rPr>
      </w:pPr>
      <w:r>
        <w:rPr>
          <w:rStyle w:val="Lienhypertexte"/>
          <w:rFonts w:ascii="Open Sans" w:hAnsi="Open Sans"/>
          <w:b/>
          <w:color w:val="000000" w:themeColor="text1"/>
          <w:sz w:val="20"/>
        </w:rPr>
        <w:t>CERTAINS AJOUTS ONT ÉTÉ APPORTÉS ENTRE CROCHETS [*]. ILS DOIVENT ÊTRE COMPLÉTÉS.</w:t>
      </w:r>
    </w:p>
    <w:p w14:paraId="77175F45" w14:textId="77777777" w:rsidR="0060711F" w:rsidRDefault="0060711F" w:rsidP="0060711F">
      <w:pPr>
        <w:rPr>
          <w:rFonts w:ascii="Open Sans Light" w:eastAsia="Open Sans Light" w:hAnsi="Open Sans Light" w:cs="Open Sans Light"/>
          <w:b/>
          <w:sz w:val="28"/>
          <w:szCs w:val="28"/>
        </w:rPr>
      </w:pPr>
      <w:r>
        <w:rPr>
          <w:rFonts w:ascii="Open Sans Light" w:hAnsi="Open Sans Light"/>
          <w:b/>
          <w:sz w:val="28"/>
          <w:szCs w:val="28"/>
        </w:rPr>
        <w:br w:type="page"/>
      </w:r>
    </w:p>
    <w:p w14:paraId="56AEDE80" w14:textId="6301E444" w:rsidR="0060711F" w:rsidRPr="00E53226" w:rsidRDefault="0060711F" w:rsidP="0060711F">
      <w:pPr>
        <w:keepNext/>
        <w:keepLines/>
        <w:pBdr>
          <w:top w:val="single" w:sz="4" w:space="1" w:color="auto"/>
          <w:left w:val="single" w:sz="4" w:space="4" w:color="auto"/>
          <w:bottom w:val="single" w:sz="4" w:space="1" w:color="auto"/>
          <w:right w:val="single" w:sz="4" w:space="4" w:color="auto"/>
        </w:pBdr>
        <w:spacing w:before="120" w:after="120"/>
        <w:jc w:val="center"/>
        <w:rPr>
          <w:rFonts w:ascii="Calibri" w:eastAsia="Open Sans Light" w:hAnsi="Calibri" w:cs="Calibri"/>
          <w:b/>
          <w:sz w:val="40"/>
          <w:szCs w:val="40"/>
        </w:rPr>
      </w:pPr>
      <w:r>
        <w:rPr>
          <w:rFonts w:ascii="Calibri" w:hAnsi="Calibri"/>
          <w:b/>
          <w:sz w:val="40"/>
        </w:rPr>
        <w:lastRenderedPageBreak/>
        <w:t>CONTRAT - DIALOGUE COMPÉTITIF</w:t>
      </w:r>
    </w:p>
    <w:p w14:paraId="0D9AC379" w14:textId="77777777" w:rsidR="0060711F" w:rsidRPr="00E53226" w:rsidRDefault="0060711F" w:rsidP="0060711F">
      <w:pPr>
        <w:jc w:val="center"/>
        <w:rPr>
          <w:rFonts w:ascii="Calibri" w:eastAsia="Open Sans Light" w:hAnsi="Calibri" w:cs="Calibri"/>
          <w:b/>
          <w:sz w:val="36"/>
          <w:szCs w:val="36"/>
        </w:rPr>
      </w:pPr>
    </w:p>
    <w:p w14:paraId="0549ACD0" w14:textId="1FA02F26" w:rsidR="0060711F" w:rsidRPr="00E53226" w:rsidRDefault="0060711F" w:rsidP="0060711F">
      <w:pPr>
        <w:jc w:val="center"/>
        <w:rPr>
          <w:rFonts w:ascii="Calibri" w:eastAsia="Open Sans Light" w:hAnsi="Calibri" w:cs="Calibri"/>
          <w:b/>
        </w:rPr>
      </w:pPr>
      <w:r>
        <w:rPr>
          <w:rFonts w:ascii="Calibri" w:hAnsi="Calibri"/>
          <w:b/>
        </w:rPr>
        <w:t>[</w:t>
      </w:r>
      <w:r w:rsidR="00F56753" w:rsidRPr="00F56753">
        <w:rPr>
          <w:rFonts w:ascii="Calibri" w:hAnsi="Calibri"/>
          <w:b/>
          <w:highlight w:val="lightGray"/>
        </w:rPr>
        <w:t>Indiquer le nom du marché</w:t>
      </w:r>
      <w:r>
        <w:rPr>
          <w:rFonts w:ascii="Calibri" w:hAnsi="Calibri"/>
          <w:b/>
        </w:rPr>
        <w:t>]</w:t>
      </w:r>
    </w:p>
    <w:p w14:paraId="76774F59" w14:textId="77777777" w:rsidR="0060711F" w:rsidRPr="00E53226" w:rsidRDefault="0060711F" w:rsidP="0060711F">
      <w:pPr>
        <w:jc w:val="center"/>
        <w:rPr>
          <w:rFonts w:ascii="Calibri" w:eastAsia="Open Sans Light" w:hAnsi="Calibri" w:cs="Calibri"/>
          <w:b/>
        </w:rPr>
      </w:pPr>
    </w:p>
    <w:p w14:paraId="5A2BF47A" w14:textId="77777777" w:rsidR="0060711F" w:rsidRPr="00E53226" w:rsidRDefault="0060711F" w:rsidP="0060711F">
      <w:pPr>
        <w:jc w:val="center"/>
        <w:rPr>
          <w:rFonts w:ascii="Calibri" w:eastAsia="Open Sans Light" w:hAnsi="Calibri" w:cs="Calibri"/>
          <w:b/>
          <w:u w:val="single"/>
        </w:rPr>
      </w:pPr>
    </w:p>
    <w:p w14:paraId="634EE2C8" w14:textId="77777777" w:rsidR="0060711F" w:rsidRPr="00E53226" w:rsidRDefault="0060711F" w:rsidP="0060711F">
      <w:pPr>
        <w:jc w:val="both"/>
        <w:rPr>
          <w:rFonts w:ascii="Calibri" w:eastAsia="Open Sans Light" w:hAnsi="Calibri" w:cs="Calibri"/>
          <w:b/>
        </w:rPr>
      </w:pPr>
      <w:bookmarkStart w:id="0" w:name="_heading=h.30j0zll" w:colFirst="0" w:colLast="0"/>
      <w:bookmarkEnd w:id="0"/>
      <w:r>
        <w:rPr>
          <w:rFonts w:ascii="Calibri" w:hAnsi="Calibri"/>
          <w:b/>
        </w:rPr>
        <w:t>ENTRE :</w:t>
      </w:r>
    </w:p>
    <w:p w14:paraId="645EF329" w14:textId="77777777" w:rsidR="0060711F" w:rsidRPr="00E53226" w:rsidRDefault="0060711F" w:rsidP="0060711F">
      <w:pPr>
        <w:jc w:val="both"/>
        <w:rPr>
          <w:rFonts w:ascii="Calibri" w:eastAsia="Open Sans Light" w:hAnsi="Calibri" w:cs="Calibri"/>
          <w:b/>
        </w:rPr>
      </w:pPr>
    </w:p>
    <w:p w14:paraId="29A36A4D" w14:textId="77777777" w:rsidR="0060711F" w:rsidRPr="00E53226" w:rsidRDefault="0060711F" w:rsidP="0060711F">
      <w:pPr>
        <w:jc w:val="both"/>
        <w:rPr>
          <w:rFonts w:ascii="Calibri" w:eastAsia="Open Sans Light" w:hAnsi="Calibri" w:cs="Calibri"/>
          <w:b/>
        </w:rPr>
      </w:pPr>
    </w:p>
    <w:p w14:paraId="7D31CFDB" w14:textId="77777777" w:rsidR="0060711F" w:rsidRPr="00E53226" w:rsidRDefault="0060711F" w:rsidP="0060711F">
      <w:pPr>
        <w:jc w:val="both"/>
        <w:rPr>
          <w:rFonts w:ascii="Calibri" w:eastAsia="Open Sans Light" w:hAnsi="Calibri" w:cs="Calibri"/>
          <w:bCs/>
        </w:rPr>
      </w:pPr>
      <w:r>
        <w:rPr>
          <w:rFonts w:ascii="Calibri" w:hAnsi="Calibri"/>
        </w:rPr>
        <w:t>Le(s) soussigné(s) :</w:t>
      </w:r>
    </w:p>
    <w:p w14:paraId="7AFFF420" w14:textId="77777777" w:rsidR="0060711F" w:rsidRPr="00E53226" w:rsidRDefault="0060711F" w:rsidP="0060711F">
      <w:pPr>
        <w:jc w:val="both"/>
        <w:rPr>
          <w:rFonts w:ascii="Calibri" w:eastAsia="Open Sans Light" w:hAnsi="Calibri" w:cs="Calibri"/>
          <w:bCs/>
        </w:rPr>
      </w:pPr>
    </w:p>
    <w:p w14:paraId="48455B4C" w14:textId="77777777" w:rsidR="0060711F" w:rsidRPr="00E53226" w:rsidRDefault="0060711F" w:rsidP="0060711F">
      <w:pPr>
        <w:jc w:val="both"/>
        <w:rPr>
          <w:rFonts w:ascii="Calibri" w:eastAsia="Open Sans Light" w:hAnsi="Calibri" w:cs="Calibri"/>
          <w:bCs/>
        </w:rPr>
      </w:pPr>
    </w:p>
    <w:p w14:paraId="27CC4D33" w14:textId="77777777" w:rsidR="0060711F" w:rsidRPr="00E53226" w:rsidRDefault="0060711F" w:rsidP="0060711F">
      <w:pPr>
        <w:jc w:val="both"/>
        <w:rPr>
          <w:rFonts w:ascii="Calibri" w:eastAsia="Open Sans Light" w:hAnsi="Calibri" w:cs="Calibri"/>
          <w:b/>
          <w:i/>
          <w:iCs/>
        </w:rPr>
      </w:pPr>
      <w:r>
        <w:rPr>
          <w:rFonts w:ascii="Calibri" w:hAnsi="Calibri"/>
          <w:b/>
          <w:i/>
        </w:rPr>
        <w:t>D’UNE PART,</w:t>
      </w:r>
    </w:p>
    <w:p w14:paraId="63BA6827" w14:textId="77777777" w:rsidR="0060711F" w:rsidRPr="00E53226" w:rsidRDefault="0060711F" w:rsidP="0060711F">
      <w:pPr>
        <w:jc w:val="both"/>
        <w:rPr>
          <w:rFonts w:ascii="Calibri" w:eastAsia="Open Sans Light" w:hAnsi="Calibri" w:cs="Calibri"/>
          <w:b/>
          <w:i/>
          <w:iCs/>
        </w:rPr>
      </w:pPr>
    </w:p>
    <w:p w14:paraId="013A9D14" w14:textId="77777777" w:rsidR="0060711F" w:rsidRPr="00E53226" w:rsidRDefault="0060711F" w:rsidP="0060711F">
      <w:pPr>
        <w:ind w:left="720"/>
        <w:jc w:val="both"/>
        <w:rPr>
          <w:rFonts w:ascii="Calibri" w:eastAsia="Open Sans Light" w:hAnsi="Calibri" w:cs="Calibri"/>
          <w:bCs/>
        </w:rPr>
      </w:pPr>
      <w:r>
        <w:rPr>
          <w:rFonts w:ascii="Calibri" w:hAnsi="Calibri"/>
        </w:rPr>
        <w:t>[</w:t>
      </w:r>
      <w:r w:rsidRPr="00E53226">
        <w:rPr>
          <w:rFonts w:ascii="Calibri" w:hAnsi="Calibri"/>
          <w:bCs/>
          <w:highlight w:val="lightGray"/>
        </w:rPr>
        <w:t>Nom du pouvoir adjudicateur</w:t>
      </w:r>
      <w:r>
        <w:rPr>
          <w:rFonts w:ascii="Calibri" w:hAnsi="Calibri"/>
        </w:rPr>
        <w:t>] dont le siège est établi à [</w:t>
      </w:r>
      <w:r w:rsidRPr="00E53226">
        <w:rPr>
          <w:rFonts w:ascii="Calibri" w:hAnsi="Calibri"/>
          <w:bCs/>
          <w:highlight w:val="lightGray"/>
        </w:rPr>
        <w:t>adresse du pouvoir adjudicateur</w:t>
      </w:r>
      <w:r>
        <w:rPr>
          <w:rFonts w:ascii="Calibri" w:hAnsi="Calibri"/>
        </w:rPr>
        <w:t>], immatriculé à la Banque-Carrefour des Entreprises sous le numéro [</w:t>
      </w:r>
      <w:r w:rsidRPr="00E53226">
        <w:rPr>
          <w:rFonts w:ascii="Calibri" w:hAnsi="Calibri"/>
          <w:bCs/>
          <w:highlight w:val="lightGray"/>
        </w:rPr>
        <w:t>indiquer le numéro</w:t>
      </w:r>
      <w:r>
        <w:rPr>
          <w:rFonts w:ascii="Calibri" w:hAnsi="Calibri"/>
        </w:rPr>
        <w:t>] et valablement représenté dans le présent document par [</w:t>
      </w:r>
      <w:r w:rsidRPr="00E53226">
        <w:rPr>
          <w:rFonts w:ascii="Calibri" w:hAnsi="Calibri"/>
          <w:bCs/>
          <w:highlight w:val="lightGray"/>
        </w:rPr>
        <w:t>nom du représentant</w:t>
      </w:r>
      <w:r>
        <w:rPr>
          <w:rFonts w:ascii="Calibri" w:hAnsi="Calibri"/>
        </w:rPr>
        <w:t>], [</w:t>
      </w:r>
      <w:r w:rsidRPr="00E53226">
        <w:rPr>
          <w:rFonts w:ascii="Calibri" w:hAnsi="Calibri"/>
          <w:bCs/>
          <w:highlight w:val="lightGray"/>
        </w:rPr>
        <w:t>qualité du représentant</w:t>
      </w:r>
      <w:r>
        <w:rPr>
          <w:rFonts w:ascii="Calibri" w:hAnsi="Calibri"/>
        </w:rPr>
        <w:t>] ;</w:t>
      </w:r>
    </w:p>
    <w:p w14:paraId="40A8B3E0" w14:textId="77777777" w:rsidR="0060711F" w:rsidRPr="00E53226" w:rsidRDefault="0060711F" w:rsidP="0060711F">
      <w:pPr>
        <w:ind w:left="720"/>
        <w:jc w:val="both"/>
        <w:rPr>
          <w:rFonts w:ascii="Calibri" w:eastAsia="Open Sans Light" w:hAnsi="Calibri" w:cs="Calibri"/>
          <w:bCs/>
        </w:rPr>
      </w:pPr>
    </w:p>
    <w:p w14:paraId="23096747" w14:textId="77777777" w:rsidR="0060711F" w:rsidRPr="00E53226" w:rsidRDefault="0060711F" w:rsidP="0060711F">
      <w:pPr>
        <w:ind w:left="720"/>
        <w:jc w:val="both"/>
        <w:rPr>
          <w:rFonts w:ascii="Calibri" w:eastAsia="Open Sans Light" w:hAnsi="Calibri" w:cs="Calibri"/>
          <w:bCs/>
          <w:color w:val="FF0000"/>
        </w:rPr>
      </w:pPr>
      <w:r>
        <w:rPr>
          <w:rFonts w:ascii="Calibri" w:hAnsi="Calibri"/>
          <w:color w:val="FF0000"/>
        </w:rPr>
        <w:t>S'il y a plusieurs pouvoirs adjudicateurs, ils doivent également être mentionnés. Si une mission différente leur est toutefois assignée, cette information doit être reprise dans le présent Contrat.</w:t>
      </w:r>
    </w:p>
    <w:p w14:paraId="3ACBD800" w14:textId="77777777" w:rsidR="0060711F" w:rsidRPr="00E53226" w:rsidRDefault="0060711F" w:rsidP="0060711F">
      <w:pPr>
        <w:ind w:left="720"/>
        <w:rPr>
          <w:rFonts w:ascii="Calibri" w:eastAsia="Open Sans Light" w:hAnsi="Calibri" w:cs="Calibri"/>
          <w:bCs/>
        </w:rPr>
      </w:pPr>
    </w:p>
    <w:p w14:paraId="392A3D3C" w14:textId="77777777" w:rsidR="0060711F" w:rsidRPr="00E53226" w:rsidRDefault="0060711F" w:rsidP="0060711F">
      <w:pPr>
        <w:ind w:left="720"/>
        <w:rPr>
          <w:rFonts w:ascii="Calibri" w:eastAsia="Open Sans Light" w:hAnsi="Calibri" w:cs="Calibri"/>
          <w:bCs/>
        </w:rPr>
      </w:pPr>
      <w:r>
        <w:rPr>
          <w:rFonts w:ascii="Calibri" w:hAnsi="Calibri"/>
        </w:rPr>
        <w:t>Ci-après dénommé « </w:t>
      </w:r>
      <w:r w:rsidRPr="00E53226">
        <w:rPr>
          <w:rFonts w:ascii="Calibri" w:hAnsi="Calibri"/>
          <w:b/>
        </w:rPr>
        <w:t>le Maître d'ouvrage</w:t>
      </w:r>
      <w:r>
        <w:rPr>
          <w:rFonts w:ascii="Calibri" w:hAnsi="Calibri"/>
        </w:rPr>
        <w:t> » ;</w:t>
      </w:r>
    </w:p>
    <w:p w14:paraId="247BFA58" w14:textId="77777777" w:rsidR="0060711F" w:rsidRPr="00E53226" w:rsidRDefault="0060711F" w:rsidP="0060711F">
      <w:pPr>
        <w:rPr>
          <w:rFonts w:ascii="Calibri" w:eastAsia="Open Sans Light" w:hAnsi="Calibri" w:cs="Calibri"/>
          <w:bCs/>
        </w:rPr>
      </w:pPr>
    </w:p>
    <w:p w14:paraId="433FC9C0" w14:textId="77777777" w:rsidR="0060711F" w:rsidRPr="00E53226" w:rsidRDefault="0060711F" w:rsidP="0060711F">
      <w:pPr>
        <w:rPr>
          <w:rFonts w:ascii="Calibri" w:eastAsia="Open Sans Light" w:hAnsi="Calibri" w:cs="Calibri"/>
          <w:b/>
          <w:i/>
          <w:iCs/>
        </w:rPr>
      </w:pPr>
      <w:r>
        <w:rPr>
          <w:rFonts w:ascii="Calibri" w:hAnsi="Calibri"/>
          <w:b/>
          <w:i/>
        </w:rPr>
        <w:t>D'AUTRE PART</w:t>
      </w:r>
    </w:p>
    <w:p w14:paraId="012BA50B" w14:textId="77777777" w:rsidR="0060711F" w:rsidRPr="00E53226" w:rsidRDefault="0060711F" w:rsidP="0060711F">
      <w:pPr>
        <w:ind w:left="720"/>
        <w:rPr>
          <w:rFonts w:ascii="Calibri" w:eastAsia="Open Sans Light" w:hAnsi="Calibri" w:cs="Calibri"/>
          <w:bCs/>
        </w:rPr>
      </w:pPr>
    </w:p>
    <w:p w14:paraId="026745C1" w14:textId="77777777" w:rsidR="0060711F" w:rsidRPr="00E53226" w:rsidRDefault="0060711F" w:rsidP="0060711F">
      <w:pPr>
        <w:jc w:val="both"/>
        <w:rPr>
          <w:rFonts w:ascii="Calibri" w:eastAsia="Open Sans Light" w:hAnsi="Calibri" w:cs="Calibri"/>
          <w:b/>
          <w:i/>
          <w:iCs/>
        </w:rPr>
      </w:pPr>
    </w:p>
    <w:p w14:paraId="4EEBBDC7" w14:textId="77777777" w:rsidR="0060711F" w:rsidRPr="00E53226" w:rsidRDefault="0060711F" w:rsidP="0060711F">
      <w:pPr>
        <w:ind w:left="720"/>
        <w:jc w:val="both"/>
        <w:rPr>
          <w:rFonts w:ascii="Calibri" w:eastAsia="Open Sans Light" w:hAnsi="Calibri" w:cs="Calibri"/>
          <w:bCs/>
        </w:rPr>
      </w:pPr>
      <w:r>
        <w:rPr>
          <w:rFonts w:ascii="Calibri" w:hAnsi="Calibri"/>
        </w:rPr>
        <w:t>[</w:t>
      </w:r>
      <w:r w:rsidRPr="00E53226">
        <w:rPr>
          <w:rFonts w:ascii="Calibri" w:hAnsi="Calibri"/>
          <w:bCs/>
          <w:highlight w:val="lightGray"/>
        </w:rPr>
        <w:t>Nom de l'adjudicataire</w:t>
      </w:r>
      <w:r>
        <w:rPr>
          <w:rFonts w:ascii="Calibri" w:hAnsi="Calibri"/>
        </w:rPr>
        <w:t>] dont le siège est établi à [</w:t>
      </w:r>
      <w:r w:rsidRPr="00E53226">
        <w:rPr>
          <w:rFonts w:ascii="Calibri" w:hAnsi="Calibri"/>
          <w:bCs/>
          <w:highlight w:val="lightGray"/>
        </w:rPr>
        <w:t>adresse de l'adjudicataire</w:t>
      </w:r>
      <w:r>
        <w:rPr>
          <w:rFonts w:ascii="Calibri" w:hAnsi="Calibri"/>
        </w:rPr>
        <w:t>], immatriculé à la Banque-Carrefour des Entreprises sous le numéro [</w:t>
      </w:r>
      <w:r w:rsidRPr="00E53226">
        <w:rPr>
          <w:rFonts w:ascii="Calibri" w:hAnsi="Calibri"/>
          <w:bCs/>
          <w:highlight w:val="lightGray"/>
        </w:rPr>
        <w:t>indiquer le numéro</w:t>
      </w:r>
      <w:r>
        <w:rPr>
          <w:rFonts w:ascii="Calibri" w:hAnsi="Calibri"/>
        </w:rPr>
        <w:t>] et valablement représenté dans le présent document par [</w:t>
      </w:r>
      <w:r w:rsidRPr="00E53226">
        <w:rPr>
          <w:rFonts w:ascii="Calibri" w:hAnsi="Calibri"/>
          <w:bCs/>
          <w:highlight w:val="lightGray"/>
        </w:rPr>
        <w:t>nom du représentant</w:t>
      </w:r>
      <w:r>
        <w:rPr>
          <w:rFonts w:ascii="Calibri" w:hAnsi="Calibri"/>
        </w:rPr>
        <w:t>], [</w:t>
      </w:r>
      <w:r w:rsidRPr="00E53226">
        <w:rPr>
          <w:rFonts w:ascii="Calibri" w:hAnsi="Calibri"/>
          <w:bCs/>
          <w:highlight w:val="lightGray"/>
        </w:rPr>
        <w:t>qualité du représentant</w:t>
      </w:r>
      <w:r>
        <w:rPr>
          <w:rFonts w:ascii="Calibri" w:hAnsi="Calibri"/>
        </w:rPr>
        <w:t>] ;</w:t>
      </w:r>
    </w:p>
    <w:p w14:paraId="44DC5744" w14:textId="77777777" w:rsidR="0060711F" w:rsidRPr="00E53226" w:rsidRDefault="0060711F" w:rsidP="0060711F">
      <w:pPr>
        <w:ind w:left="720"/>
        <w:jc w:val="both"/>
        <w:rPr>
          <w:rFonts w:ascii="Calibri" w:eastAsia="Open Sans Light" w:hAnsi="Calibri" w:cs="Calibri"/>
          <w:bCs/>
        </w:rPr>
      </w:pPr>
    </w:p>
    <w:p w14:paraId="540CA05F" w14:textId="77777777" w:rsidR="0060711F" w:rsidRPr="00E53226" w:rsidRDefault="0060711F" w:rsidP="0060711F">
      <w:pPr>
        <w:ind w:left="720"/>
        <w:jc w:val="both"/>
        <w:rPr>
          <w:rFonts w:ascii="Calibri" w:eastAsia="Open Sans Light" w:hAnsi="Calibri" w:cs="Calibri"/>
          <w:bCs/>
        </w:rPr>
      </w:pPr>
      <w:r>
        <w:rPr>
          <w:rFonts w:ascii="Calibri" w:hAnsi="Calibri"/>
        </w:rPr>
        <w:t>Ci-après dénommé « </w:t>
      </w:r>
      <w:r w:rsidRPr="00E53226">
        <w:rPr>
          <w:rFonts w:ascii="Calibri" w:hAnsi="Calibri"/>
          <w:b/>
        </w:rPr>
        <w:t>l'Adjudicataire</w:t>
      </w:r>
      <w:r>
        <w:rPr>
          <w:rFonts w:ascii="Calibri" w:hAnsi="Calibri"/>
        </w:rPr>
        <w:t> » ;</w:t>
      </w:r>
    </w:p>
    <w:p w14:paraId="03714018" w14:textId="77777777" w:rsidR="0060711F" w:rsidRPr="00E53226" w:rsidRDefault="0060711F" w:rsidP="0060711F">
      <w:pPr>
        <w:ind w:left="720"/>
        <w:rPr>
          <w:rFonts w:ascii="Calibri" w:eastAsia="Open Sans Light" w:hAnsi="Calibri" w:cs="Calibri"/>
          <w:bCs/>
        </w:rPr>
      </w:pPr>
    </w:p>
    <w:p w14:paraId="2AB49B8E" w14:textId="77777777" w:rsidR="0060711F" w:rsidRPr="00E53226" w:rsidRDefault="0060711F" w:rsidP="0060711F">
      <w:pPr>
        <w:jc w:val="both"/>
        <w:rPr>
          <w:rFonts w:ascii="Calibri" w:eastAsia="Open Sans Light" w:hAnsi="Calibri" w:cs="Calibri"/>
        </w:rPr>
      </w:pPr>
    </w:p>
    <w:p w14:paraId="6DC07152" w14:textId="77777777" w:rsidR="0060711F" w:rsidRPr="00E53226" w:rsidRDefault="0060711F" w:rsidP="0060711F">
      <w:pPr>
        <w:jc w:val="both"/>
        <w:rPr>
          <w:rFonts w:ascii="Calibri" w:eastAsia="Open Sans Light" w:hAnsi="Calibri" w:cs="Calibri"/>
        </w:rPr>
      </w:pPr>
      <w:r>
        <w:rPr>
          <w:rFonts w:ascii="Calibri" w:hAnsi="Calibri"/>
        </w:rPr>
        <w:t>Les parties sont désignées conjointement les « </w:t>
      </w:r>
      <w:r w:rsidRPr="00E53226">
        <w:rPr>
          <w:rFonts w:ascii="Calibri" w:hAnsi="Calibri"/>
          <w:b/>
        </w:rPr>
        <w:t>Parties</w:t>
      </w:r>
      <w:r>
        <w:rPr>
          <w:rFonts w:ascii="Calibri" w:hAnsi="Calibri"/>
        </w:rPr>
        <w:t> » et séparément une « </w:t>
      </w:r>
      <w:r w:rsidRPr="00E53226">
        <w:rPr>
          <w:rFonts w:ascii="Calibri" w:hAnsi="Calibri"/>
          <w:b/>
        </w:rPr>
        <w:t>Partie</w:t>
      </w:r>
      <w:r>
        <w:rPr>
          <w:rFonts w:ascii="Calibri" w:hAnsi="Calibri"/>
        </w:rPr>
        <w:t> ».</w:t>
      </w:r>
    </w:p>
    <w:p w14:paraId="0AC855B9" w14:textId="77777777" w:rsidR="0060711F" w:rsidRDefault="0060711F" w:rsidP="0060711F">
      <w:pPr>
        <w:jc w:val="both"/>
        <w:rPr>
          <w:rFonts w:ascii="Open Sans Light" w:eastAsia="Open Sans Light" w:hAnsi="Open Sans Light" w:cs="Open Sans Light"/>
          <w:sz w:val="20"/>
          <w:szCs w:val="20"/>
        </w:rPr>
      </w:pPr>
    </w:p>
    <w:p w14:paraId="428D4225" w14:textId="77777777" w:rsidR="0060711F" w:rsidRDefault="0060711F" w:rsidP="0060711F">
      <w:pPr>
        <w:jc w:val="both"/>
        <w:rPr>
          <w:rFonts w:ascii="Open Sans Light" w:eastAsia="Open Sans Light" w:hAnsi="Open Sans Light" w:cs="Open Sans Light"/>
          <w:sz w:val="20"/>
          <w:szCs w:val="20"/>
        </w:rPr>
      </w:pPr>
    </w:p>
    <w:p w14:paraId="402F582A" w14:textId="77777777" w:rsidR="0060711F" w:rsidRDefault="0060711F" w:rsidP="0060711F">
      <w:pPr>
        <w:rPr>
          <w:rFonts w:ascii="Open Sans Light" w:eastAsia="Open Sans Light" w:hAnsi="Open Sans Light" w:cs="Open Sans Light"/>
          <w:b/>
        </w:rPr>
      </w:pPr>
      <w:r>
        <w:rPr>
          <w:rFonts w:ascii="Open Sans Light" w:hAnsi="Open Sans Light"/>
          <w:b/>
        </w:rPr>
        <w:br w:type="page"/>
      </w:r>
    </w:p>
    <w:p w14:paraId="73560B1C" w14:textId="77777777" w:rsidR="0060711F" w:rsidRPr="00E53226" w:rsidRDefault="0060711F" w:rsidP="0060711F">
      <w:pPr>
        <w:keepNext/>
        <w:keepLines/>
        <w:spacing w:before="120" w:after="120"/>
        <w:rPr>
          <w:rFonts w:ascii="Calibri" w:eastAsia="Open Sans Light" w:hAnsi="Calibri" w:cs="Calibri"/>
          <w:b/>
          <w:sz w:val="36"/>
          <w:szCs w:val="36"/>
        </w:rPr>
      </w:pPr>
      <w:r>
        <w:rPr>
          <w:rFonts w:ascii="Calibri" w:hAnsi="Calibri"/>
          <w:b/>
          <w:sz w:val="36"/>
        </w:rPr>
        <w:lastRenderedPageBreak/>
        <w:t>CONSIDÉRATIONS</w:t>
      </w:r>
    </w:p>
    <w:p w14:paraId="3D6C942C" w14:textId="74FE0CD0" w:rsidR="0060711F" w:rsidRPr="00E53226" w:rsidRDefault="2C396963" w:rsidP="2C396963">
      <w:pPr>
        <w:pStyle w:val="Paragraphedeliste"/>
        <w:numPr>
          <w:ilvl w:val="0"/>
          <w:numId w:val="22"/>
        </w:numPr>
        <w:spacing w:after="160"/>
        <w:ind w:left="714" w:hanging="357"/>
        <w:jc w:val="both"/>
        <w:rPr>
          <w:rFonts w:ascii="Calibri" w:eastAsia="Open Sans Light" w:hAnsi="Calibri" w:cs="Calibri"/>
        </w:rPr>
      </w:pPr>
      <w:r>
        <w:rPr>
          <w:rFonts w:ascii="Calibri" w:hAnsi="Calibri"/>
        </w:rPr>
        <w:t>Le [</w:t>
      </w:r>
      <w:r w:rsidRPr="2C396963">
        <w:rPr>
          <w:rFonts w:ascii="Calibri" w:hAnsi="Calibri"/>
          <w:highlight w:val="lightGray"/>
        </w:rPr>
        <w:t>indiquer la date</w:t>
      </w:r>
      <w:r>
        <w:rPr>
          <w:rFonts w:ascii="Calibri" w:hAnsi="Calibri"/>
        </w:rPr>
        <w:t>], le Maître d'ouvrage a publié un marché public intitulé « [</w:t>
      </w:r>
      <w:r w:rsidRPr="2C396963">
        <w:rPr>
          <w:rFonts w:ascii="Calibri" w:hAnsi="Calibri"/>
          <w:highlight w:val="lightGray"/>
        </w:rPr>
        <w:t>indiquer le titre</w:t>
      </w:r>
      <w:r>
        <w:rPr>
          <w:rFonts w:ascii="Calibri" w:hAnsi="Calibri"/>
        </w:rPr>
        <w:t>] » dans le Bulletin des Adjudications (n° BDA [</w:t>
      </w:r>
      <w:r w:rsidRPr="2C396963">
        <w:rPr>
          <w:rFonts w:ascii="Calibri" w:hAnsi="Calibri"/>
          <w:highlight w:val="lightGray"/>
        </w:rPr>
        <w:t>indiquer le numéro du BDA</w:t>
      </w:r>
      <w:r>
        <w:rPr>
          <w:rFonts w:ascii="Calibri" w:hAnsi="Calibri"/>
        </w:rPr>
        <w:t>]) et le [</w:t>
      </w:r>
      <w:r w:rsidRPr="2C396963">
        <w:rPr>
          <w:rFonts w:ascii="Calibri" w:hAnsi="Calibri"/>
          <w:highlight w:val="lightGray"/>
        </w:rPr>
        <w:t>indiquer la date</w:t>
      </w:r>
      <w:r>
        <w:rPr>
          <w:rFonts w:ascii="Calibri" w:hAnsi="Calibri"/>
        </w:rPr>
        <w:t>] dans le Journal officiel de l'Union européenne (n° TED [</w:t>
      </w:r>
      <w:r w:rsidRPr="2C396963">
        <w:rPr>
          <w:rFonts w:ascii="Calibri" w:hAnsi="Calibri"/>
          <w:highlight w:val="lightGray"/>
        </w:rPr>
        <w:t>indiquer le numéro du TED</w:t>
      </w:r>
      <w:r>
        <w:rPr>
          <w:rFonts w:ascii="Calibri" w:hAnsi="Calibri"/>
        </w:rPr>
        <w:t>]). Le Marché porte sur [</w:t>
      </w:r>
      <w:r w:rsidRPr="2C396963">
        <w:rPr>
          <w:rFonts w:ascii="Calibri" w:hAnsi="Calibri"/>
          <w:highlight w:val="lightGray"/>
        </w:rPr>
        <w:t>indiquer l'objet du marché</w:t>
      </w:r>
      <w:r>
        <w:rPr>
          <w:rFonts w:ascii="Calibri" w:hAnsi="Calibri"/>
        </w:rPr>
        <w:t>] et est passé via ces avis par le biais d'un dialogue compétitif au sens de l'article 39 de la loi du 17 juin 2016 relative aux marchés publics.</w:t>
      </w:r>
    </w:p>
    <w:p w14:paraId="5C95C814" w14:textId="65F74F07" w:rsidR="00A44EED" w:rsidRPr="00E53226" w:rsidRDefault="2C396963" w:rsidP="2C396963">
      <w:pPr>
        <w:pStyle w:val="Paragraphedeliste"/>
        <w:numPr>
          <w:ilvl w:val="0"/>
          <w:numId w:val="22"/>
        </w:numPr>
        <w:spacing w:after="160"/>
        <w:ind w:left="714" w:hanging="357"/>
        <w:jc w:val="both"/>
        <w:rPr>
          <w:rFonts w:ascii="Calibri" w:eastAsia="Open Sans Light" w:hAnsi="Calibri" w:cs="Calibri"/>
        </w:rPr>
      </w:pPr>
      <w:r>
        <w:rPr>
          <w:rFonts w:ascii="Calibri" w:hAnsi="Calibri"/>
        </w:rPr>
        <w:t>À la suite du dialogue compétitif, plusieurs sessions de dialogue ont été menées avec les participants. Suite à la clôture du dialogue, à la communication du cahier spécial des charges ainsi qu'à la réception et à l'évaluation des offres définitives, le Maître d'ouvrage a attribué le Marché à l'Adjudicataire le [</w:t>
      </w:r>
      <w:r w:rsidRPr="2C396963">
        <w:rPr>
          <w:rFonts w:ascii="Calibri" w:hAnsi="Calibri"/>
          <w:highlight w:val="lightGray"/>
        </w:rPr>
        <w:t>indiquer la date de la décision d'attribution</w:t>
      </w:r>
      <w:r>
        <w:rPr>
          <w:rFonts w:ascii="Calibri" w:hAnsi="Calibri"/>
        </w:rPr>
        <w:t>]. Suite à l'attribution du Marché, les Parties ont procédé à la conclusion du présent Contrat.</w:t>
      </w:r>
    </w:p>
    <w:p w14:paraId="57D19166" w14:textId="156EF767" w:rsidR="00A44EED" w:rsidRPr="00546330" w:rsidRDefault="00A44EED">
      <w:pPr>
        <w:rPr>
          <w:b/>
          <w:bCs/>
        </w:rPr>
      </w:pPr>
      <w:r>
        <w:rPr>
          <w:b/>
          <w:bCs/>
        </w:rPr>
        <w:br w:type="page"/>
      </w:r>
    </w:p>
    <w:sdt>
      <w:sdtPr>
        <w:rPr>
          <w:rFonts w:cstheme="minorBidi"/>
          <w:b w:val="0"/>
          <w:bCs w:val="0"/>
          <w:sz w:val="24"/>
          <w:szCs w:val="24"/>
        </w:rPr>
        <w:id w:val="-1503188310"/>
        <w:docPartObj>
          <w:docPartGallery w:val="Table of Contents"/>
          <w:docPartUnique/>
        </w:docPartObj>
      </w:sdtPr>
      <w:sdtContent>
        <w:p w14:paraId="042A3980" w14:textId="45E4C7A1" w:rsidR="0044019D" w:rsidRDefault="005D6111">
          <w:pPr>
            <w:pStyle w:val="TM1"/>
            <w:rPr>
              <w:rFonts w:eastAsiaTheme="minorEastAsia" w:cstheme="minorBidi"/>
              <w:b w:val="0"/>
              <w:bCs w:val="0"/>
              <w:noProof/>
              <w:kern w:val="2"/>
              <w:sz w:val="24"/>
              <w:szCs w:val="24"/>
              <w:lang w:eastAsia="fr-BE"/>
              <w14:ligatures w14:val="standardContextual"/>
            </w:rPr>
          </w:pPr>
          <w:r>
            <w:rPr>
              <w:rFonts w:asciiTheme="majorHAnsi" w:eastAsiaTheme="majorEastAsia" w:hAnsiTheme="majorHAnsi" w:cstheme="majorBidi"/>
              <w:color w:val="2F5496" w:themeColor="accent1" w:themeShade="BF"/>
              <w:sz w:val="28"/>
              <w:szCs w:val="28"/>
            </w:rPr>
            <w:fldChar w:fldCharType="begin"/>
          </w:r>
          <w:r>
            <w:instrText>TOC \o "1-3" \h \z \u</w:instrText>
          </w:r>
          <w:r>
            <w:rPr>
              <w:rFonts w:asciiTheme="majorHAnsi" w:eastAsiaTheme="majorEastAsia" w:hAnsiTheme="majorHAnsi" w:cstheme="majorBidi"/>
              <w:color w:val="2F5496" w:themeColor="accent1" w:themeShade="BF"/>
              <w:sz w:val="28"/>
              <w:szCs w:val="28"/>
            </w:rPr>
            <w:fldChar w:fldCharType="separate"/>
          </w:r>
          <w:hyperlink w:anchor="_Toc215498962" w:history="1">
            <w:r w:rsidR="0044019D" w:rsidRPr="001E01AF">
              <w:rPr>
                <w:rStyle w:val="Lienhypertexte"/>
                <w:noProof/>
              </w:rPr>
              <w:t>Hoofdstuk I.</w:t>
            </w:r>
            <w:r w:rsidR="0044019D">
              <w:rPr>
                <w:rFonts w:eastAsiaTheme="minorEastAsia" w:cstheme="minorBidi"/>
                <w:b w:val="0"/>
                <w:bCs w:val="0"/>
                <w:noProof/>
                <w:kern w:val="2"/>
                <w:sz w:val="24"/>
                <w:szCs w:val="24"/>
                <w:lang w:eastAsia="fr-BE"/>
                <w14:ligatures w14:val="standardContextual"/>
              </w:rPr>
              <w:tab/>
            </w:r>
            <w:r w:rsidR="0044019D" w:rsidRPr="001E01AF">
              <w:rPr>
                <w:rStyle w:val="Lienhypertexte"/>
                <w:noProof/>
              </w:rPr>
              <w:t>Dispositions générales</w:t>
            </w:r>
            <w:r w:rsidR="0044019D">
              <w:rPr>
                <w:noProof/>
                <w:webHidden/>
              </w:rPr>
              <w:tab/>
            </w:r>
            <w:r w:rsidR="0044019D">
              <w:rPr>
                <w:noProof/>
                <w:webHidden/>
              </w:rPr>
              <w:fldChar w:fldCharType="begin"/>
            </w:r>
            <w:r w:rsidR="0044019D">
              <w:rPr>
                <w:noProof/>
                <w:webHidden/>
              </w:rPr>
              <w:instrText xml:space="preserve"> PAGEREF _Toc215498962 \h </w:instrText>
            </w:r>
            <w:r w:rsidR="0044019D">
              <w:rPr>
                <w:noProof/>
                <w:webHidden/>
              </w:rPr>
            </w:r>
            <w:r w:rsidR="0044019D">
              <w:rPr>
                <w:noProof/>
                <w:webHidden/>
              </w:rPr>
              <w:fldChar w:fldCharType="separate"/>
            </w:r>
            <w:r w:rsidR="0044019D">
              <w:rPr>
                <w:noProof/>
                <w:webHidden/>
              </w:rPr>
              <w:t>6</w:t>
            </w:r>
            <w:r w:rsidR="0044019D">
              <w:rPr>
                <w:noProof/>
                <w:webHidden/>
              </w:rPr>
              <w:fldChar w:fldCharType="end"/>
            </w:r>
          </w:hyperlink>
        </w:p>
        <w:p w14:paraId="62EC8B36" w14:textId="357755F5"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63" w:history="1">
            <w:r w:rsidRPr="001E01AF">
              <w:rPr>
                <w:rStyle w:val="Lienhypertexte"/>
                <w:noProof/>
              </w:rPr>
              <w:t>Article 1.</w:t>
            </w:r>
            <w:r>
              <w:rPr>
                <w:rFonts w:eastAsiaTheme="minorEastAsia" w:cstheme="minorBidi"/>
                <w:noProof/>
                <w:kern w:val="2"/>
                <w:sz w:val="24"/>
                <w:szCs w:val="24"/>
                <w:lang w:eastAsia="fr-BE"/>
                <w14:ligatures w14:val="standardContextual"/>
              </w:rPr>
              <w:tab/>
            </w:r>
            <w:r w:rsidRPr="001E01AF">
              <w:rPr>
                <w:rStyle w:val="Lienhypertexte"/>
                <w:noProof/>
              </w:rPr>
              <w:t>Définitions</w:t>
            </w:r>
            <w:r>
              <w:rPr>
                <w:noProof/>
                <w:webHidden/>
              </w:rPr>
              <w:tab/>
            </w:r>
            <w:r>
              <w:rPr>
                <w:noProof/>
                <w:webHidden/>
              </w:rPr>
              <w:fldChar w:fldCharType="begin"/>
            </w:r>
            <w:r>
              <w:rPr>
                <w:noProof/>
                <w:webHidden/>
              </w:rPr>
              <w:instrText xml:space="preserve"> PAGEREF _Toc215498963 \h </w:instrText>
            </w:r>
            <w:r>
              <w:rPr>
                <w:noProof/>
                <w:webHidden/>
              </w:rPr>
            </w:r>
            <w:r>
              <w:rPr>
                <w:noProof/>
                <w:webHidden/>
              </w:rPr>
              <w:fldChar w:fldCharType="separate"/>
            </w:r>
            <w:r>
              <w:rPr>
                <w:noProof/>
                <w:webHidden/>
              </w:rPr>
              <w:t>6</w:t>
            </w:r>
            <w:r>
              <w:rPr>
                <w:noProof/>
                <w:webHidden/>
              </w:rPr>
              <w:fldChar w:fldCharType="end"/>
            </w:r>
          </w:hyperlink>
        </w:p>
        <w:p w14:paraId="27A57ACC" w14:textId="5301EB2E"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64" w:history="1">
            <w:r w:rsidRPr="001E01AF">
              <w:rPr>
                <w:rStyle w:val="Lienhypertexte"/>
                <w:noProof/>
              </w:rPr>
              <w:t>Article 2.</w:t>
            </w:r>
            <w:r>
              <w:rPr>
                <w:rFonts w:eastAsiaTheme="minorEastAsia" w:cstheme="minorBidi"/>
                <w:noProof/>
                <w:kern w:val="2"/>
                <w:sz w:val="24"/>
                <w:szCs w:val="24"/>
                <w:lang w:eastAsia="fr-BE"/>
                <w14:ligatures w14:val="standardContextual"/>
              </w:rPr>
              <w:tab/>
            </w:r>
            <w:r w:rsidRPr="001E01AF">
              <w:rPr>
                <w:rStyle w:val="Lienhypertexte"/>
                <w:noProof/>
              </w:rPr>
              <w:t>Objet du Contrat</w:t>
            </w:r>
            <w:r>
              <w:rPr>
                <w:noProof/>
                <w:webHidden/>
              </w:rPr>
              <w:tab/>
            </w:r>
            <w:r>
              <w:rPr>
                <w:noProof/>
                <w:webHidden/>
              </w:rPr>
              <w:fldChar w:fldCharType="begin"/>
            </w:r>
            <w:r>
              <w:rPr>
                <w:noProof/>
                <w:webHidden/>
              </w:rPr>
              <w:instrText xml:space="preserve"> PAGEREF _Toc215498964 \h </w:instrText>
            </w:r>
            <w:r>
              <w:rPr>
                <w:noProof/>
                <w:webHidden/>
              </w:rPr>
            </w:r>
            <w:r>
              <w:rPr>
                <w:noProof/>
                <w:webHidden/>
              </w:rPr>
              <w:fldChar w:fldCharType="separate"/>
            </w:r>
            <w:r>
              <w:rPr>
                <w:noProof/>
                <w:webHidden/>
              </w:rPr>
              <w:t>6</w:t>
            </w:r>
            <w:r>
              <w:rPr>
                <w:noProof/>
                <w:webHidden/>
              </w:rPr>
              <w:fldChar w:fldCharType="end"/>
            </w:r>
          </w:hyperlink>
        </w:p>
        <w:p w14:paraId="1264B855" w14:textId="4CD5ACA2"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65" w:history="1">
            <w:r w:rsidRPr="001E01AF">
              <w:rPr>
                <w:rStyle w:val="Lienhypertexte"/>
                <w:noProof/>
              </w:rPr>
              <w:t>Article 3.</w:t>
            </w:r>
            <w:r>
              <w:rPr>
                <w:rFonts w:eastAsiaTheme="minorEastAsia" w:cstheme="minorBidi"/>
                <w:noProof/>
                <w:kern w:val="2"/>
                <w:sz w:val="24"/>
                <w:szCs w:val="24"/>
                <w:lang w:eastAsia="fr-BE"/>
                <w14:ligatures w14:val="standardContextual"/>
              </w:rPr>
              <w:tab/>
            </w:r>
            <w:r w:rsidRPr="001E01AF">
              <w:rPr>
                <w:rStyle w:val="Lienhypertexte"/>
                <w:noProof/>
              </w:rPr>
              <w:t>AR Exécution</w:t>
            </w:r>
            <w:r>
              <w:rPr>
                <w:noProof/>
                <w:webHidden/>
              </w:rPr>
              <w:tab/>
            </w:r>
            <w:r>
              <w:rPr>
                <w:noProof/>
                <w:webHidden/>
              </w:rPr>
              <w:fldChar w:fldCharType="begin"/>
            </w:r>
            <w:r>
              <w:rPr>
                <w:noProof/>
                <w:webHidden/>
              </w:rPr>
              <w:instrText xml:space="preserve"> PAGEREF _Toc215498965 \h </w:instrText>
            </w:r>
            <w:r>
              <w:rPr>
                <w:noProof/>
                <w:webHidden/>
              </w:rPr>
            </w:r>
            <w:r>
              <w:rPr>
                <w:noProof/>
                <w:webHidden/>
              </w:rPr>
              <w:fldChar w:fldCharType="separate"/>
            </w:r>
            <w:r>
              <w:rPr>
                <w:noProof/>
                <w:webHidden/>
              </w:rPr>
              <w:t>6</w:t>
            </w:r>
            <w:r>
              <w:rPr>
                <w:noProof/>
                <w:webHidden/>
              </w:rPr>
              <w:fldChar w:fldCharType="end"/>
            </w:r>
          </w:hyperlink>
        </w:p>
        <w:p w14:paraId="3D004EA6" w14:textId="63EFEF47"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66" w:history="1">
            <w:r w:rsidRPr="001E01AF">
              <w:rPr>
                <w:rStyle w:val="Lienhypertexte"/>
                <w:noProof/>
              </w:rPr>
              <w:t>Article 4.</w:t>
            </w:r>
            <w:r>
              <w:rPr>
                <w:rFonts w:eastAsiaTheme="minorEastAsia" w:cstheme="minorBidi"/>
                <w:noProof/>
                <w:kern w:val="2"/>
                <w:sz w:val="24"/>
                <w:szCs w:val="24"/>
                <w:lang w:eastAsia="fr-BE"/>
                <w14:ligatures w14:val="standardContextual"/>
              </w:rPr>
              <w:tab/>
            </w:r>
            <w:r w:rsidRPr="001E01AF">
              <w:rPr>
                <w:rStyle w:val="Lienhypertexte"/>
                <w:noProof/>
              </w:rPr>
              <w:t>Interprétation</w:t>
            </w:r>
            <w:r>
              <w:rPr>
                <w:noProof/>
                <w:webHidden/>
              </w:rPr>
              <w:tab/>
            </w:r>
            <w:r>
              <w:rPr>
                <w:noProof/>
                <w:webHidden/>
              </w:rPr>
              <w:fldChar w:fldCharType="begin"/>
            </w:r>
            <w:r>
              <w:rPr>
                <w:noProof/>
                <w:webHidden/>
              </w:rPr>
              <w:instrText xml:space="preserve"> PAGEREF _Toc215498966 \h </w:instrText>
            </w:r>
            <w:r>
              <w:rPr>
                <w:noProof/>
                <w:webHidden/>
              </w:rPr>
            </w:r>
            <w:r>
              <w:rPr>
                <w:noProof/>
                <w:webHidden/>
              </w:rPr>
              <w:fldChar w:fldCharType="separate"/>
            </w:r>
            <w:r>
              <w:rPr>
                <w:noProof/>
                <w:webHidden/>
              </w:rPr>
              <w:t>7</w:t>
            </w:r>
            <w:r>
              <w:rPr>
                <w:noProof/>
                <w:webHidden/>
              </w:rPr>
              <w:fldChar w:fldCharType="end"/>
            </w:r>
          </w:hyperlink>
        </w:p>
        <w:p w14:paraId="4FD611DE" w14:textId="5FABB380"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67" w:history="1">
            <w:r w:rsidRPr="001E01AF">
              <w:rPr>
                <w:rStyle w:val="Lienhypertexte"/>
                <w:noProof/>
              </w:rPr>
              <w:t>Article 5.</w:t>
            </w:r>
            <w:r>
              <w:rPr>
                <w:rFonts w:eastAsiaTheme="minorEastAsia" w:cstheme="minorBidi"/>
                <w:noProof/>
                <w:kern w:val="2"/>
                <w:sz w:val="24"/>
                <w:szCs w:val="24"/>
                <w:lang w:eastAsia="fr-BE"/>
                <w14:ligatures w14:val="standardContextual"/>
              </w:rPr>
              <w:tab/>
            </w:r>
            <w:r w:rsidRPr="001E01AF">
              <w:rPr>
                <w:rStyle w:val="Lienhypertexte"/>
                <w:noProof/>
              </w:rPr>
              <w:t>Durée et entrée en vigueur du Contrat</w:t>
            </w:r>
            <w:r>
              <w:rPr>
                <w:noProof/>
                <w:webHidden/>
              </w:rPr>
              <w:tab/>
            </w:r>
            <w:r>
              <w:rPr>
                <w:noProof/>
                <w:webHidden/>
              </w:rPr>
              <w:fldChar w:fldCharType="begin"/>
            </w:r>
            <w:r>
              <w:rPr>
                <w:noProof/>
                <w:webHidden/>
              </w:rPr>
              <w:instrText xml:space="preserve"> PAGEREF _Toc215498967 \h </w:instrText>
            </w:r>
            <w:r>
              <w:rPr>
                <w:noProof/>
                <w:webHidden/>
              </w:rPr>
            </w:r>
            <w:r>
              <w:rPr>
                <w:noProof/>
                <w:webHidden/>
              </w:rPr>
              <w:fldChar w:fldCharType="separate"/>
            </w:r>
            <w:r>
              <w:rPr>
                <w:noProof/>
                <w:webHidden/>
              </w:rPr>
              <w:t>8</w:t>
            </w:r>
            <w:r>
              <w:rPr>
                <w:noProof/>
                <w:webHidden/>
              </w:rPr>
              <w:fldChar w:fldCharType="end"/>
            </w:r>
          </w:hyperlink>
        </w:p>
        <w:p w14:paraId="62784A23" w14:textId="2492D1E7"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68" w:history="1">
            <w:r w:rsidRPr="001E01AF">
              <w:rPr>
                <w:rStyle w:val="Lienhypertexte"/>
                <w:noProof/>
              </w:rPr>
              <w:t>Article 6.</w:t>
            </w:r>
            <w:r>
              <w:rPr>
                <w:rFonts w:eastAsiaTheme="minorEastAsia" w:cstheme="minorBidi"/>
                <w:noProof/>
                <w:kern w:val="2"/>
                <w:sz w:val="24"/>
                <w:szCs w:val="24"/>
                <w:lang w:eastAsia="fr-BE"/>
                <w14:ligatures w14:val="standardContextual"/>
              </w:rPr>
              <w:tab/>
            </w:r>
            <w:r w:rsidRPr="001E01AF">
              <w:rPr>
                <w:rStyle w:val="Lienhypertexte"/>
                <w:noProof/>
              </w:rPr>
              <w:t>Obligations de l’Adjudicataire</w:t>
            </w:r>
            <w:r>
              <w:rPr>
                <w:noProof/>
                <w:webHidden/>
              </w:rPr>
              <w:tab/>
            </w:r>
            <w:r>
              <w:rPr>
                <w:noProof/>
                <w:webHidden/>
              </w:rPr>
              <w:fldChar w:fldCharType="begin"/>
            </w:r>
            <w:r>
              <w:rPr>
                <w:noProof/>
                <w:webHidden/>
              </w:rPr>
              <w:instrText xml:space="preserve"> PAGEREF _Toc215498968 \h </w:instrText>
            </w:r>
            <w:r>
              <w:rPr>
                <w:noProof/>
                <w:webHidden/>
              </w:rPr>
            </w:r>
            <w:r>
              <w:rPr>
                <w:noProof/>
                <w:webHidden/>
              </w:rPr>
              <w:fldChar w:fldCharType="separate"/>
            </w:r>
            <w:r>
              <w:rPr>
                <w:noProof/>
                <w:webHidden/>
              </w:rPr>
              <w:t>8</w:t>
            </w:r>
            <w:r>
              <w:rPr>
                <w:noProof/>
                <w:webHidden/>
              </w:rPr>
              <w:fldChar w:fldCharType="end"/>
            </w:r>
          </w:hyperlink>
        </w:p>
        <w:p w14:paraId="3BC10E69" w14:textId="0BDFBAA0"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69" w:history="1">
            <w:r w:rsidRPr="001E01AF">
              <w:rPr>
                <w:rStyle w:val="Lienhypertexte"/>
                <w:noProof/>
                <w:lang w:val="en-US"/>
              </w:rPr>
              <w:t>Article 7.</w:t>
            </w:r>
            <w:r>
              <w:rPr>
                <w:rFonts w:eastAsiaTheme="minorEastAsia" w:cstheme="minorBidi"/>
                <w:noProof/>
                <w:kern w:val="2"/>
                <w:sz w:val="24"/>
                <w:szCs w:val="24"/>
                <w:lang w:eastAsia="fr-BE"/>
                <w14:ligatures w14:val="standardContextual"/>
              </w:rPr>
              <w:tab/>
            </w:r>
            <w:r w:rsidRPr="001E01AF">
              <w:rPr>
                <w:rStyle w:val="Lienhypertexte"/>
                <w:noProof/>
                <w:lang w:val="en-US"/>
              </w:rPr>
              <w:t>Single Point of Contact (SPOC)</w:t>
            </w:r>
            <w:r>
              <w:rPr>
                <w:noProof/>
                <w:webHidden/>
              </w:rPr>
              <w:tab/>
            </w:r>
            <w:r>
              <w:rPr>
                <w:noProof/>
                <w:webHidden/>
              </w:rPr>
              <w:fldChar w:fldCharType="begin"/>
            </w:r>
            <w:r>
              <w:rPr>
                <w:noProof/>
                <w:webHidden/>
              </w:rPr>
              <w:instrText xml:space="preserve"> PAGEREF _Toc215498969 \h </w:instrText>
            </w:r>
            <w:r>
              <w:rPr>
                <w:noProof/>
                <w:webHidden/>
              </w:rPr>
            </w:r>
            <w:r>
              <w:rPr>
                <w:noProof/>
                <w:webHidden/>
              </w:rPr>
              <w:fldChar w:fldCharType="separate"/>
            </w:r>
            <w:r>
              <w:rPr>
                <w:noProof/>
                <w:webHidden/>
              </w:rPr>
              <w:t>9</w:t>
            </w:r>
            <w:r>
              <w:rPr>
                <w:noProof/>
                <w:webHidden/>
              </w:rPr>
              <w:fldChar w:fldCharType="end"/>
            </w:r>
          </w:hyperlink>
        </w:p>
        <w:p w14:paraId="7852A8FC" w14:textId="2F4ABB2B"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70" w:history="1">
            <w:r w:rsidRPr="001E01AF">
              <w:rPr>
                <w:rStyle w:val="Lienhypertexte"/>
                <w:noProof/>
              </w:rPr>
              <w:t>Article 8.</w:t>
            </w:r>
            <w:r>
              <w:rPr>
                <w:rFonts w:eastAsiaTheme="minorEastAsia" w:cstheme="minorBidi"/>
                <w:noProof/>
                <w:kern w:val="2"/>
                <w:sz w:val="24"/>
                <w:szCs w:val="24"/>
                <w:lang w:eastAsia="fr-BE"/>
                <w14:ligatures w14:val="standardContextual"/>
              </w:rPr>
              <w:tab/>
            </w:r>
            <w:r w:rsidRPr="001E01AF">
              <w:rPr>
                <w:rStyle w:val="Lienhypertexte"/>
                <w:noProof/>
              </w:rPr>
              <w:t>Obligation d'information et possibilité de contrôle</w:t>
            </w:r>
            <w:r>
              <w:rPr>
                <w:noProof/>
                <w:webHidden/>
              </w:rPr>
              <w:tab/>
            </w:r>
            <w:r>
              <w:rPr>
                <w:noProof/>
                <w:webHidden/>
              </w:rPr>
              <w:fldChar w:fldCharType="begin"/>
            </w:r>
            <w:r>
              <w:rPr>
                <w:noProof/>
                <w:webHidden/>
              </w:rPr>
              <w:instrText xml:space="preserve"> PAGEREF _Toc215498970 \h </w:instrText>
            </w:r>
            <w:r>
              <w:rPr>
                <w:noProof/>
                <w:webHidden/>
              </w:rPr>
            </w:r>
            <w:r>
              <w:rPr>
                <w:noProof/>
                <w:webHidden/>
              </w:rPr>
              <w:fldChar w:fldCharType="separate"/>
            </w:r>
            <w:r>
              <w:rPr>
                <w:noProof/>
                <w:webHidden/>
              </w:rPr>
              <w:t>10</w:t>
            </w:r>
            <w:r>
              <w:rPr>
                <w:noProof/>
                <w:webHidden/>
              </w:rPr>
              <w:fldChar w:fldCharType="end"/>
            </w:r>
          </w:hyperlink>
        </w:p>
        <w:p w14:paraId="1629B965" w14:textId="1FF05EB3"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71" w:history="1">
            <w:r w:rsidRPr="001E01AF">
              <w:rPr>
                <w:rStyle w:val="Lienhypertexte"/>
                <w:noProof/>
              </w:rPr>
              <w:t>Article 9.</w:t>
            </w:r>
            <w:r>
              <w:rPr>
                <w:rFonts w:eastAsiaTheme="minorEastAsia" w:cstheme="minorBidi"/>
                <w:noProof/>
                <w:kern w:val="2"/>
                <w:sz w:val="24"/>
                <w:szCs w:val="24"/>
                <w:lang w:eastAsia="fr-BE"/>
                <w14:ligatures w14:val="standardContextual"/>
              </w:rPr>
              <w:tab/>
            </w:r>
            <w:r w:rsidRPr="001E01AF">
              <w:rPr>
                <w:rStyle w:val="Lienhypertexte"/>
                <w:noProof/>
              </w:rPr>
              <w:t>Confidentialité</w:t>
            </w:r>
            <w:r>
              <w:rPr>
                <w:noProof/>
                <w:webHidden/>
              </w:rPr>
              <w:tab/>
            </w:r>
            <w:r>
              <w:rPr>
                <w:noProof/>
                <w:webHidden/>
              </w:rPr>
              <w:fldChar w:fldCharType="begin"/>
            </w:r>
            <w:r>
              <w:rPr>
                <w:noProof/>
                <w:webHidden/>
              </w:rPr>
              <w:instrText xml:space="preserve"> PAGEREF _Toc215498971 \h </w:instrText>
            </w:r>
            <w:r>
              <w:rPr>
                <w:noProof/>
                <w:webHidden/>
              </w:rPr>
            </w:r>
            <w:r>
              <w:rPr>
                <w:noProof/>
                <w:webHidden/>
              </w:rPr>
              <w:fldChar w:fldCharType="separate"/>
            </w:r>
            <w:r>
              <w:rPr>
                <w:noProof/>
                <w:webHidden/>
              </w:rPr>
              <w:t>10</w:t>
            </w:r>
            <w:r>
              <w:rPr>
                <w:noProof/>
                <w:webHidden/>
              </w:rPr>
              <w:fldChar w:fldCharType="end"/>
            </w:r>
          </w:hyperlink>
        </w:p>
        <w:p w14:paraId="59BA1641" w14:textId="01FE1CD9"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72" w:history="1">
            <w:r w:rsidRPr="001E01AF">
              <w:rPr>
                <w:rStyle w:val="Lienhypertexte"/>
                <w:noProof/>
              </w:rPr>
              <w:t>Article 10.</w:t>
            </w:r>
            <w:r>
              <w:rPr>
                <w:rFonts w:eastAsiaTheme="minorEastAsia" w:cstheme="minorBidi"/>
                <w:noProof/>
                <w:kern w:val="2"/>
                <w:sz w:val="24"/>
                <w:szCs w:val="24"/>
                <w:lang w:eastAsia="fr-BE"/>
                <w14:ligatures w14:val="standardContextual"/>
              </w:rPr>
              <w:tab/>
            </w:r>
            <w:r w:rsidRPr="001E01AF">
              <w:rPr>
                <w:rStyle w:val="Lienhypertexte"/>
                <w:noProof/>
              </w:rPr>
              <w:t>Sous-traitance</w:t>
            </w:r>
            <w:r>
              <w:rPr>
                <w:noProof/>
                <w:webHidden/>
              </w:rPr>
              <w:tab/>
            </w:r>
            <w:r>
              <w:rPr>
                <w:noProof/>
                <w:webHidden/>
              </w:rPr>
              <w:fldChar w:fldCharType="begin"/>
            </w:r>
            <w:r>
              <w:rPr>
                <w:noProof/>
                <w:webHidden/>
              </w:rPr>
              <w:instrText xml:space="preserve"> PAGEREF _Toc215498972 \h </w:instrText>
            </w:r>
            <w:r>
              <w:rPr>
                <w:noProof/>
                <w:webHidden/>
              </w:rPr>
            </w:r>
            <w:r>
              <w:rPr>
                <w:noProof/>
                <w:webHidden/>
              </w:rPr>
              <w:fldChar w:fldCharType="separate"/>
            </w:r>
            <w:r>
              <w:rPr>
                <w:noProof/>
                <w:webHidden/>
              </w:rPr>
              <w:t>11</w:t>
            </w:r>
            <w:r>
              <w:rPr>
                <w:noProof/>
                <w:webHidden/>
              </w:rPr>
              <w:fldChar w:fldCharType="end"/>
            </w:r>
          </w:hyperlink>
        </w:p>
        <w:p w14:paraId="52F4AF27" w14:textId="41872B0B"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73" w:history="1">
            <w:r w:rsidRPr="001E01AF">
              <w:rPr>
                <w:rStyle w:val="Lienhypertexte"/>
                <w:noProof/>
              </w:rPr>
              <w:t>Article 11.</w:t>
            </w:r>
            <w:r>
              <w:rPr>
                <w:rFonts w:eastAsiaTheme="minorEastAsia" w:cstheme="minorBidi"/>
                <w:noProof/>
                <w:kern w:val="2"/>
                <w:sz w:val="24"/>
                <w:szCs w:val="24"/>
                <w:lang w:eastAsia="fr-BE"/>
                <w14:ligatures w14:val="standardContextual"/>
              </w:rPr>
              <w:tab/>
            </w:r>
            <w:r w:rsidRPr="001E01AF">
              <w:rPr>
                <w:rStyle w:val="Lienhypertexte"/>
                <w:noProof/>
              </w:rPr>
              <w:t>Possibilité de résiliation</w:t>
            </w:r>
            <w:r>
              <w:rPr>
                <w:noProof/>
                <w:webHidden/>
              </w:rPr>
              <w:tab/>
            </w:r>
            <w:r>
              <w:rPr>
                <w:noProof/>
                <w:webHidden/>
              </w:rPr>
              <w:fldChar w:fldCharType="begin"/>
            </w:r>
            <w:r>
              <w:rPr>
                <w:noProof/>
                <w:webHidden/>
              </w:rPr>
              <w:instrText xml:space="preserve"> PAGEREF _Toc215498973 \h </w:instrText>
            </w:r>
            <w:r>
              <w:rPr>
                <w:noProof/>
                <w:webHidden/>
              </w:rPr>
            </w:r>
            <w:r>
              <w:rPr>
                <w:noProof/>
                <w:webHidden/>
              </w:rPr>
              <w:fldChar w:fldCharType="separate"/>
            </w:r>
            <w:r>
              <w:rPr>
                <w:noProof/>
                <w:webHidden/>
              </w:rPr>
              <w:t>11</w:t>
            </w:r>
            <w:r>
              <w:rPr>
                <w:noProof/>
                <w:webHidden/>
              </w:rPr>
              <w:fldChar w:fldCharType="end"/>
            </w:r>
          </w:hyperlink>
        </w:p>
        <w:p w14:paraId="0FF04875" w14:textId="6A470099"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74" w:history="1">
            <w:r w:rsidRPr="001E01AF">
              <w:rPr>
                <w:rStyle w:val="Lienhypertexte"/>
                <w:noProof/>
              </w:rPr>
              <w:t>Article 12.</w:t>
            </w:r>
            <w:r>
              <w:rPr>
                <w:rFonts w:eastAsiaTheme="minorEastAsia" w:cstheme="minorBidi"/>
                <w:noProof/>
                <w:kern w:val="2"/>
                <w:sz w:val="24"/>
                <w:szCs w:val="24"/>
                <w:lang w:eastAsia="fr-BE"/>
                <w14:ligatures w14:val="standardContextual"/>
              </w:rPr>
              <w:tab/>
            </w:r>
            <w:r w:rsidRPr="001E01AF">
              <w:rPr>
                <w:rStyle w:val="Lienhypertexte"/>
                <w:noProof/>
              </w:rPr>
              <w:t>Dissolution</w:t>
            </w:r>
            <w:r>
              <w:rPr>
                <w:noProof/>
                <w:webHidden/>
              </w:rPr>
              <w:tab/>
            </w:r>
            <w:r>
              <w:rPr>
                <w:noProof/>
                <w:webHidden/>
              </w:rPr>
              <w:fldChar w:fldCharType="begin"/>
            </w:r>
            <w:r>
              <w:rPr>
                <w:noProof/>
                <w:webHidden/>
              </w:rPr>
              <w:instrText xml:space="preserve"> PAGEREF _Toc215498974 \h </w:instrText>
            </w:r>
            <w:r>
              <w:rPr>
                <w:noProof/>
                <w:webHidden/>
              </w:rPr>
            </w:r>
            <w:r>
              <w:rPr>
                <w:noProof/>
                <w:webHidden/>
              </w:rPr>
              <w:fldChar w:fldCharType="separate"/>
            </w:r>
            <w:r>
              <w:rPr>
                <w:noProof/>
                <w:webHidden/>
              </w:rPr>
              <w:t>12</w:t>
            </w:r>
            <w:r>
              <w:rPr>
                <w:noProof/>
                <w:webHidden/>
              </w:rPr>
              <w:fldChar w:fldCharType="end"/>
            </w:r>
          </w:hyperlink>
        </w:p>
        <w:p w14:paraId="10186974" w14:textId="251FF7FE"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75" w:history="1">
            <w:r w:rsidRPr="001E01AF">
              <w:rPr>
                <w:rStyle w:val="Lienhypertexte"/>
                <w:noProof/>
              </w:rPr>
              <w:t>Article 13.</w:t>
            </w:r>
            <w:r>
              <w:rPr>
                <w:rFonts w:eastAsiaTheme="minorEastAsia" w:cstheme="minorBidi"/>
                <w:noProof/>
                <w:kern w:val="2"/>
                <w:sz w:val="24"/>
                <w:szCs w:val="24"/>
                <w:lang w:eastAsia="fr-BE"/>
                <w14:ligatures w14:val="standardContextual"/>
              </w:rPr>
              <w:tab/>
            </w:r>
            <w:r w:rsidRPr="001E01AF">
              <w:rPr>
                <w:rStyle w:val="Lienhypertexte"/>
                <w:noProof/>
              </w:rPr>
              <w:t>Responsabilité</w:t>
            </w:r>
            <w:r>
              <w:rPr>
                <w:noProof/>
                <w:webHidden/>
              </w:rPr>
              <w:tab/>
            </w:r>
            <w:r>
              <w:rPr>
                <w:noProof/>
                <w:webHidden/>
              </w:rPr>
              <w:fldChar w:fldCharType="begin"/>
            </w:r>
            <w:r>
              <w:rPr>
                <w:noProof/>
                <w:webHidden/>
              </w:rPr>
              <w:instrText xml:space="preserve"> PAGEREF _Toc215498975 \h </w:instrText>
            </w:r>
            <w:r>
              <w:rPr>
                <w:noProof/>
                <w:webHidden/>
              </w:rPr>
            </w:r>
            <w:r>
              <w:rPr>
                <w:noProof/>
                <w:webHidden/>
              </w:rPr>
              <w:fldChar w:fldCharType="separate"/>
            </w:r>
            <w:r>
              <w:rPr>
                <w:noProof/>
                <w:webHidden/>
              </w:rPr>
              <w:t>12</w:t>
            </w:r>
            <w:r>
              <w:rPr>
                <w:noProof/>
                <w:webHidden/>
              </w:rPr>
              <w:fldChar w:fldCharType="end"/>
            </w:r>
          </w:hyperlink>
        </w:p>
        <w:p w14:paraId="13923C6B" w14:textId="108FBFF0"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76" w:history="1">
            <w:r w:rsidRPr="001E01AF">
              <w:rPr>
                <w:rStyle w:val="Lienhypertexte"/>
                <w:noProof/>
              </w:rPr>
              <w:t>Article 14.</w:t>
            </w:r>
            <w:r>
              <w:rPr>
                <w:rFonts w:eastAsiaTheme="minorEastAsia" w:cstheme="minorBidi"/>
                <w:noProof/>
                <w:kern w:val="2"/>
                <w:sz w:val="24"/>
                <w:szCs w:val="24"/>
                <w:lang w:eastAsia="fr-BE"/>
                <w14:ligatures w14:val="standardContextual"/>
              </w:rPr>
              <w:tab/>
            </w:r>
            <w:r w:rsidRPr="001E01AF">
              <w:rPr>
                <w:rStyle w:val="Lienhypertexte"/>
                <w:noProof/>
              </w:rPr>
              <w:t>Moyens d'action du Maître d'ouvrage</w:t>
            </w:r>
            <w:r>
              <w:rPr>
                <w:noProof/>
                <w:webHidden/>
              </w:rPr>
              <w:tab/>
            </w:r>
            <w:r>
              <w:rPr>
                <w:noProof/>
                <w:webHidden/>
              </w:rPr>
              <w:fldChar w:fldCharType="begin"/>
            </w:r>
            <w:r>
              <w:rPr>
                <w:noProof/>
                <w:webHidden/>
              </w:rPr>
              <w:instrText xml:space="preserve"> PAGEREF _Toc215498976 \h </w:instrText>
            </w:r>
            <w:r>
              <w:rPr>
                <w:noProof/>
                <w:webHidden/>
              </w:rPr>
            </w:r>
            <w:r>
              <w:rPr>
                <w:noProof/>
                <w:webHidden/>
              </w:rPr>
              <w:fldChar w:fldCharType="separate"/>
            </w:r>
            <w:r>
              <w:rPr>
                <w:noProof/>
                <w:webHidden/>
              </w:rPr>
              <w:t>13</w:t>
            </w:r>
            <w:r>
              <w:rPr>
                <w:noProof/>
                <w:webHidden/>
              </w:rPr>
              <w:fldChar w:fldCharType="end"/>
            </w:r>
          </w:hyperlink>
        </w:p>
        <w:p w14:paraId="6C248DF7" w14:textId="59CA2394"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77" w:history="1">
            <w:r w:rsidRPr="001E01AF">
              <w:rPr>
                <w:rStyle w:val="Lienhypertexte"/>
                <w:noProof/>
              </w:rPr>
              <w:t>Article 15.</w:t>
            </w:r>
            <w:r>
              <w:rPr>
                <w:rFonts w:eastAsiaTheme="minorEastAsia" w:cstheme="minorBidi"/>
                <w:noProof/>
                <w:kern w:val="2"/>
                <w:sz w:val="24"/>
                <w:szCs w:val="24"/>
                <w:lang w:eastAsia="fr-BE"/>
                <w14:ligatures w14:val="standardContextual"/>
              </w:rPr>
              <w:tab/>
            </w:r>
            <w:r w:rsidRPr="001E01AF">
              <w:rPr>
                <w:rStyle w:val="Lienhypertexte"/>
                <w:noProof/>
              </w:rPr>
              <w:t>Force majeure</w:t>
            </w:r>
            <w:r>
              <w:rPr>
                <w:noProof/>
                <w:webHidden/>
              </w:rPr>
              <w:tab/>
            </w:r>
            <w:r>
              <w:rPr>
                <w:noProof/>
                <w:webHidden/>
              </w:rPr>
              <w:fldChar w:fldCharType="begin"/>
            </w:r>
            <w:r>
              <w:rPr>
                <w:noProof/>
                <w:webHidden/>
              </w:rPr>
              <w:instrText xml:space="preserve"> PAGEREF _Toc215498977 \h </w:instrText>
            </w:r>
            <w:r>
              <w:rPr>
                <w:noProof/>
                <w:webHidden/>
              </w:rPr>
            </w:r>
            <w:r>
              <w:rPr>
                <w:noProof/>
                <w:webHidden/>
              </w:rPr>
              <w:fldChar w:fldCharType="separate"/>
            </w:r>
            <w:r>
              <w:rPr>
                <w:noProof/>
                <w:webHidden/>
              </w:rPr>
              <w:t>13</w:t>
            </w:r>
            <w:r>
              <w:rPr>
                <w:noProof/>
                <w:webHidden/>
              </w:rPr>
              <w:fldChar w:fldCharType="end"/>
            </w:r>
          </w:hyperlink>
        </w:p>
        <w:p w14:paraId="5167264E" w14:textId="067EE36D"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78" w:history="1">
            <w:r w:rsidRPr="001E01AF">
              <w:rPr>
                <w:rStyle w:val="Lienhypertexte"/>
                <w:noProof/>
              </w:rPr>
              <w:t>Article 16.</w:t>
            </w:r>
            <w:r>
              <w:rPr>
                <w:rFonts w:eastAsiaTheme="minorEastAsia" w:cstheme="minorBidi"/>
                <w:noProof/>
                <w:kern w:val="2"/>
                <w:sz w:val="24"/>
                <w:szCs w:val="24"/>
                <w:lang w:eastAsia="fr-BE"/>
                <w14:ligatures w14:val="standardContextual"/>
              </w:rPr>
              <w:tab/>
            </w:r>
            <w:r w:rsidRPr="001E01AF">
              <w:rPr>
                <w:rStyle w:val="Lienhypertexte"/>
                <w:noProof/>
              </w:rPr>
              <w:t>Circonstances imprévisibles</w:t>
            </w:r>
            <w:r>
              <w:rPr>
                <w:noProof/>
                <w:webHidden/>
              </w:rPr>
              <w:tab/>
            </w:r>
            <w:r>
              <w:rPr>
                <w:noProof/>
                <w:webHidden/>
              </w:rPr>
              <w:fldChar w:fldCharType="begin"/>
            </w:r>
            <w:r>
              <w:rPr>
                <w:noProof/>
                <w:webHidden/>
              </w:rPr>
              <w:instrText xml:space="preserve"> PAGEREF _Toc215498978 \h </w:instrText>
            </w:r>
            <w:r>
              <w:rPr>
                <w:noProof/>
                <w:webHidden/>
              </w:rPr>
            </w:r>
            <w:r>
              <w:rPr>
                <w:noProof/>
                <w:webHidden/>
              </w:rPr>
              <w:fldChar w:fldCharType="separate"/>
            </w:r>
            <w:r>
              <w:rPr>
                <w:noProof/>
                <w:webHidden/>
              </w:rPr>
              <w:t>13</w:t>
            </w:r>
            <w:r>
              <w:rPr>
                <w:noProof/>
                <w:webHidden/>
              </w:rPr>
              <w:fldChar w:fldCharType="end"/>
            </w:r>
          </w:hyperlink>
        </w:p>
        <w:p w14:paraId="7D3555A0" w14:textId="69FAD59F"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79" w:history="1">
            <w:r w:rsidRPr="001E01AF">
              <w:rPr>
                <w:rStyle w:val="Lienhypertexte"/>
                <w:noProof/>
              </w:rPr>
              <w:t>Article 17.</w:t>
            </w:r>
            <w:r>
              <w:rPr>
                <w:rFonts w:eastAsiaTheme="minorEastAsia" w:cstheme="minorBidi"/>
                <w:noProof/>
                <w:kern w:val="2"/>
                <w:sz w:val="24"/>
                <w:szCs w:val="24"/>
                <w:lang w:eastAsia="fr-BE"/>
                <w14:ligatures w14:val="standardContextual"/>
              </w:rPr>
              <w:tab/>
            </w:r>
            <w:r w:rsidRPr="001E01AF">
              <w:rPr>
                <w:rStyle w:val="Lienhypertexte"/>
                <w:noProof/>
              </w:rPr>
              <w:t>Modifications du Contrat</w:t>
            </w:r>
            <w:r>
              <w:rPr>
                <w:noProof/>
                <w:webHidden/>
              </w:rPr>
              <w:tab/>
            </w:r>
            <w:r>
              <w:rPr>
                <w:noProof/>
                <w:webHidden/>
              </w:rPr>
              <w:fldChar w:fldCharType="begin"/>
            </w:r>
            <w:r>
              <w:rPr>
                <w:noProof/>
                <w:webHidden/>
              </w:rPr>
              <w:instrText xml:space="preserve"> PAGEREF _Toc215498979 \h </w:instrText>
            </w:r>
            <w:r>
              <w:rPr>
                <w:noProof/>
                <w:webHidden/>
              </w:rPr>
            </w:r>
            <w:r>
              <w:rPr>
                <w:noProof/>
                <w:webHidden/>
              </w:rPr>
              <w:fldChar w:fldCharType="separate"/>
            </w:r>
            <w:r>
              <w:rPr>
                <w:noProof/>
                <w:webHidden/>
              </w:rPr>
              <w:t>14</w:t>
            </w:r>
            <w:r>
              <w:rPr>
                <w:noProof/>
                <w:webHidden/>
              </w:rPr>
              <w:fldChar w:fldCharType="end"/>
            </w:r>
          </w:hyperlink>
        </w:p>
        <w:p w14:paraId="0222CC6C" w14:textId="3CB554D2"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80" w:history="1">
            <w:r w:rsidRPr="001E01AF">
              <w:rPr>
                <w:rStyle w:val="Lienhypertexte"/>
                <w:noProof/>
              </w:rPr>
              <w:t>Article 18.</w:t>
            </w:r>
            <w:r>
              <w:rPr>
                <w:rFonts w:eastAsiaTheme="minorEastAsia" w:cstheme="minorBidi"/>
                <w:noProof/>
                <w:kern w:val="2"/>
                <w:sz w:val="24"/>
                <w:szCs w:val="24"/>
                <w:lang w:eastAsia="fr-BE"/>
                <w14:ligatures w14:val="standardContextual"/>
              </w:rPr>
              <w:tab/>
            </w:r>
            <w:r w:rsidRPr="001E01AF">
              <w:rPr>
                <w:rStyle w:val="Lienhypertexte"/>
                <w:noProof/>
              </w:rPr>
              <w:t>Transférabilité</w:t>
            </w:r>
            <w:r>
              <w:rPr>
                <w:noProof/>
                <w:webHidden/>
              </w:rPr>
              <w:tab/>
            </w:r>
            <w:r>
              <w:rPr>
                <w:noProof/>
                <w:webHidden/>
              </w:rPr>
              <w:fldChar w:fldCharType="begin"/>
            </w:r>
            <w:r>
              <w:rPr>
                <w:noProof/>
                <w:webHidden/>
              </w:rPr>
              <w:instrText xml:space="preserve"> PAGEREF _Toc215498980 \h </w:instrText>
            </w:r>
            <w:r>
              <w:rPr>
                <w:noProof/>
                <w:webHidden/>
              </w:rPr>
            </w:r>
            <w:r>
              <w:rPr>
                <w:noProof/>
                <w:webHidden/>
              </w:rPr>
              <w:fldChar w:fldCharType="separate"/>
            </w:r>
            <w:r>
              <w:rPr>
                <w:noProof/>
                <w:webHidden/>
              </w:rPr>
              <w:t>16</w:t>
            </w:r>
            <w:r>
              <w:rPr>
                <w:noProof/>
                <w:webHidden/>
              </w:rPr>
              <w:fldChar w:fldCharType="end"/>
            </w:r>
          </w:hyperlink>
        </w:p>
        <w:p w14:paraId="0C08F0ED" w14:textId="425BD170"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81" w:history="1">
            <w:r w:rsidRPr="001E01AF">
              <w:rPr>
                <w:rStyle w:val="Lienhypertexte"/>
                <w:noProof/>
              </w:rPr>
              <w:t>Article 19.</w:t>
            </w:r>
            <w:r>
              <w:rPr>
                <w:rFonts w:eastAsiaTheme="minorEastAsia" w:cstheme="minorBidi"/>
                <w:noProof/>
                <w:kern w:val="2"/>
                <w:sz w:val="24"/>
                <w:szCs w:val="24"/>
                <w:lang w:eastAsia="fr-BE"/>
                <w14:ligatures w14:val="standardContextual"/>
              </w:rPr>
              <w:tab/>
            </w:r>
            <w:r w:rsidRPr="001E01AF">
              <w:rPr>
                <w:rStyle w:val="Lienhypertexte"/>
                <w:noProof/>
              </w:rPr>
              <w:t>Traitement des données à caractère personnel</w:t>
            </w:r>
            <w:r>
              <w:rPr>
                <w:noProof/>
                <w:webHidden/>
              </w:rPr>
              <w:tab/>
            </w:r>
            <w:r>
              <w:rPr>
                <w:noProof/>
                <w:webHidden/>
              </w:rPr>
              <w:fldChar w:fldCharType="begin"/>
            </w:r>
            <w:r>
              <w:rPr>
                <w:noProof/>
                <w:webHidden/>
              </w:rPr>
              <w:instrText xml:space="preserve"> PAGEREF _Toc215498981 \h </w:instrText>
            </w:r>
            <w:r>
              <w:rPr>
                <w:noProof/>
                <w:webHidden/>
              </w:rPr>
            </w:r>
            <w:r>
              <w:rPr>
                <w:noProof/>
                <w:webHidden/>
              </w:rPr>
              <w:fldChar w:fldCharType="separate"/>
            </w:r>
            <w:r>
              <w:rPr>
                <w:noProof/>
                <w:webHidden/>
              </w:rPr>
              <w:t>16</w:t>
            </w:r>
            <w:r>
              <w:rPr>
                <w:noProof/>
                <w:webHidden/>
              </w:rPr>
              <w:fldChar w:fldCharType="end"/>
            </w:r>
          </w:hyperlink>
        </w:p>
        <w:p w14:paraId="4E0F7596" w14:textId="2DDEF982"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82" w:history="1">
            <w:r w:rsidRPr="001E01AF">
              <w:rPr>
                <w:rStyle w:val="Lienhypertexte"/>
                <w:noProof/>
              </w:rPr>
              <w:t>Article 20.</w:t>
            </w:r>
            <w:r>
              <w:rPr>
                <w:rFonts w:eastAsiaTheme="minorEastAsia" w:cstheme="minorBidi"/>
                <w:noProof/>
                <w:kern w:val="2"/>
                <w:sz w:val="24"/>
                <w:szCs w:val="24"/>
                <w:lang w:eastAsia="fr-BE"/>
                <w14:ligatures w14:val="standardContextual"/>
              </w:rPr>
              <w:tab/>
            </w:r>
            <w:r w:rsidRPr="001E01AF">
              <w:rPr>
                <w:rStyle w:val="Lienhypertexte"/>
                <w:noProof/>
              </w:rPr>
              <w:t>Nullité</w:t>
            </w:r>
            <w:r>
              <w:rPr>
                <w:noProof/>
                <w:webHidden/>
              </w:rPr>
              <w:tab/>
            </w:r>
            <w:r>
              <w:rPr>
                <w:noProof/>
                <w:webHidden/>
              </w:rPr>
              <w:fldChar w:fldCharType="begin"/>
            </w:r>
            <w:r>
              <w:rPr>
                <w:noProof/>
                <w:webHidden/>
              </w:rPr>
              <w:instrText xml:space="preserve"> PAGEREF _Toc215498982 \h </w:instrText>
            </w:r>
            <w:r>
              <w:rPr>
                <w:noProof/>
                <w:webHidden/>
              </w:rPr>
            </w:r>
            <w:r>
              <w:rPr>
                <w:noProof/>
                <w:webHidden/>
              </w:rPr>
              <w:fldChar w:fldCharType="separate"/>
            </w:r>
            <w:r>
              <w:rPr>
                <w:noProof/>
                <w:webHidden/>
              </w:rPr>
              <w:t>16</w:t>
            </w:r>
            <w:r>
              <w:rPr>
                <w:noProof/>
                <w:webHidden/>
              </w:rPr>
              <w:fldChar w:fldCharType="end"/>
            </w:r>
          </w:hyperlink>
        </w:p>
        <w:p w14:paraId="421EE2E2" w14:textId="2A5B8AF9"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83" w:history="1">
            <w:r w:rsidRPr="001E01AF">
              <w:rPr>
                <w:rStyle w:val="Lienhypertexte"/>
                <w:noProof/>
              </w:rPr>
              <w:t>Article 21.</w:t>
            </w:r>
            <w:r>
              <w:rPr>
                <w:rFonts w:eastAsiaTheme="minorEastAsia" w:cstheme="minorBidi"/>
                <w:noProof/>
                <w:kern w:val="2"/>
                <w:sz w:val="24"/>
                <w:szCs w:val="24"/>
                <w:lang w:eastAsia="fr-BE"/>
                <w14:ligatures w14:val="standardContextual"/>
              </w:rPr>
              <w:tab/>
            </w:r>
            <w:r w:rsidRPr="001E01AF">
              <w:rPr>
                <w:rStyle w:val="Lienhypertexte"/>
                <w:noProof/>
              </w:rPr>
              <w:t>Élection de domicile</w:t>
            </w:r>
            <w:r>
              <w:rPr>
                <w:noProof/>
                <w:webHidden/>
              </w:rPr>
              <w:tab/>
            </w:r>
            <w:r>
              <w:rPr>
                <w:noProof/>
                <w:webHidden/>
              </w:rPr>
              <w:fldChar w:fldCharType="begin"/>
            </w:r>
            <w:r>
              <w:rPr>
                <w:noProof/>
                <w:webHidden/>
              </w:rPr>
              <w:instrText xml:space="preserve"> PAGEREF _Toc215498983 \h </w:instrText>
            </w:r>
            <w:r>
              <w:rPr>
                <w:noProof/>
                <w:webHidden/>
              </w:rPr>
            </w:r>
            <w:r>
              <w:rPr>
                <w:noProof/>
                <w:webHidden/>
              </w:rPr>
              <w:fldChar w:fldCharType="separate"/>
            </w:r>
            <w:r>
              <w:rPr>
                <w:noProof/>
                <w:webHidden/>
              </w:rPr>
              <w:t>16</w:t>
            </w:r>
            <w:r>
              <w:rPr>
                <w:noProof/>
                <w:webHidden/>
              </w:rPr>
              <w:fldChar w:fldCharType="end"/>
            </w:r>
          </w:hyperlink>
        </w:p>
        <w:p w14:paraId="35F2DC22" w14:textId="36DC847F"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84" w:history="1">
            <w:r w:rsidRPr="001E01AF">
              <w:rPr>
                <w:rStyle w:val="Lienhypertexte"/>
                <w:noProof/>
              </w:rPr>
              <w:t>Article 22.</w:t>
            </w:r>
            <w:r>
              <w:rPr>
                <w:rFonts w:eastAsiaTheme="minorEastAsia" w:cstheme="minorBidi"/>
                <w:noProof/>
                <w:kern w:val="2"/>
                <w:sz w:val="24"/>
                <w:szCs w:val="24"/>
                <w:lang w:eastAsia="fr-BE"/>
                <w14:ligatures w14:val="standardContextual"/>
              </w:rPr>
              <w:tab/>
            </w:r>
            <w:r w:rsidRPr="001E01AF">
              <w:rPr>
                <w:rStyle w:val="Lienhypertexte"/>
                <w:noProof/>
              </w:rPr>
              <w:t>Droit applicable</w:t>
            </w:r>
            <w:r>
              <w:rPr>
                <w:noProof/>
                <w:webHidden/>
              </w:rPr>
              <w:tab/>
            </w:r>
            <w:r>
              <w:rPr>
                <w:noProof/>
                <w:webHidden/>
              </w:rPr>
              <w:fldChar w:fldCharType="begin"/>
            </w:r>
            <w:r>
              <w:rPr>
                <w:noProof/>
                <w:webHidden/>
              </w:rPr>
              <w:instrText xml:space="preserve"> PAGEREF _Toc215498984 \h </w:instrText>
            </w:r>
            <w:r>
              <w:rPr>
                <w:noProof/>
                <w:webHidden/>
              </w:rPr>
            </w:r>
            <w:r>
              <w:rPr>
                <w:noProof/>
                <w:webHidden/>
              </w:rPr>
              <w:fldChar w:fldCharType="separate"/>
            </w:r>
            <w:r>
              <w:rPr>
                <w:noProof/>
                <w:webHidden/>
              </w:rPr>
              <w:t>17</w:t>
            </w:r>
            <w:r>
              <w:rPr>
                <w:noProof/>
                <w:webHidden/>
              </w:rPr>
              <w:fldChar w:fldCharType="end"/>
            </w:r>
          </w:hyperlink>
        </w:p>
        <w:p w14:paraId="40F3CAA2" w14:textId="0B0D08CB" w:rsidR="0044019D" w:rsidRDefault="0044019D">
          <w:pPr>
            <w:pStyle w:val="TM1"/>
            <w:rPr>
              <w:rFonts w:eastAsiaTheme="minorEastAsia" w:cstheme="minorBidi"/>
              <w:b w:val="0"/>
              <w:bCs w:val="0"/>
              <w:noProof/>
              <w:kern w:val="2"/>
              <w:sz w:val="24"/>
              <w:szCs w:val="24"/>
              <w:lang w:eastAsia="fr-BE"/>
              <w14:ligatures w14:val="standardContextual"/>
            </w:rPr>
          </w:pPr>
          <w:hyperlink w:anchor="_Toc215498985" w:history="1">
            <w:r w:rsidRPr="001E01AF">
              <w:rPr>
                <w:rStyle w:val="Lienhypertexte"/>
                <w:noProof/>
              </w:rPr>
              <w:t>Hoofdstuk II.</w:t>
            </w:r>
            <w:r>
              <w:rPr>
                <w:rFonts w:eastAsiaTheme="minorEastAsia" w:cstheme="minorBidi"/>
                <w:b w:val="0"/>
                <w:bCs w:val="0"/>
                <w:noProof/>
                <w:kern w:val="2"/>
                <w:sz w:val="24"/>
                <w:szCs w:val="24"/>
                <w:lang w:eastAsia="fr-BE"/>
                <w14:ligatures w14:val="standardContextual"/>
              </w:rPr>
              <w:tab/>
            </w:r>
            <w:r w:rsidRPr="001E01AF">
              <w:rPr>
                <w:rStyle w:val="Lienhypertexte"/>
                <w:noProof/>
              </w:rPr>
              <w:t>Dispositions spécifiques concernant les Services de Recherche et de Développement</w:t>
            </w:r>
            <w:r>
              <w:rPr>
                <w:noProof/>
                <w:webHidden/>
              </w:rPr>
              <w:tab/>
            </w:r>
            <w:r>
              <w:rPr>
                <w:noProof/>
                <w:webHidden/>
              </w:rPr>
              <w:fldChar w:fldCharType="begin"/>
            </w:r>
            <w:r>
              <w:rPr>
                <w:noProof/>
                <w:webHidden/>
              </w:rPr>
              <w:instrText xml:space="preserve"> PAGEREF _Toc215498985 \h </w:instrText>
            </w:r>
            <w:r>
              <w:rPr>
                <w:noProof/>
                <w:webHidden/>
              </w:rPr>
            </w:r>
            <w:r>
              <w:rPr>
                <w:noProof/>
                <w:webHidden/>
              </w:rPr>
              <w:fldChar w:fldCharType="separate"/>
            </w:r>
            <w:r>
              <w:rPr>
                <w:noProof/>
                <w:webHidden/>
              </w:rPr>
              <w:t>17</w:t>
            </w:r>
            <w:r>
              <w:rPr>
                <w:noProof/>
                <w:webHidden/>
              </w:rPr>
              <w:fldChar w:fldCharType="end"/>
            </w:r>
          </w:hyperlink>
        </w:p>
        <w:p w14:paraId="63B1913A" w14:textId="2465E86A" w:rsidR="0044019D" w:rsidRDefault="0044019D">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8986" w:history="1">
            <w:r w:rsidRPr="001E01AF">
              <w:rPr>
                <w:rStyle w:val="Lienhypertexte"/>
                <w:noProof/>
              </w:rPr>
              <w:t>Section 1.</w:t>
            </w:r>
            <w:r>
              <w:rPr>
                <w:rFonts w:eastAsiaTheme="minorEastAsia" w:cstheme="minorBidi"/>
                <w:i w:val="0"/>
                <w:iCs w:val="0"/>
                <w:noProof/>
                <w:kern w:val="2"/>
                <w:sz w:val="24"/>
                <w:szCs w:val="24"/>
                <w:lang w:eastAsia="fr-BE"/>
                <w14:ligatures w14:val="standardContextual"/>
              </w:rPr>
              <w:tab/>
            </w:r>
            <w:r w:rsidRPr="001E01AF">
              <w:rPr>
                <w:rStyle w:val="Lienhypertexte"/>
                <w:noProof/>
              </w:rPr>
              <w:t>Description des Services de Recherche et de Développement</w:t>
            </w:r>
            <w:r>
              <w:rPr>
                <w:noProof/>
                <w:webHidden/>
              </w:rPr>
              <w:tab/>
            </w:r>
            <w:r>
              <w:rPr>
                <w:noProof/>
                <w:webHidden/>
              </w:rPr>
              <w:fldChar w:fldCharType="begin"/>
            </w:r>
            <w:r>
              <w:rPr>
                <w:noProof/>
                <w:webHidden/>
              </w:rPr>
              <w:instrText xml:space="preserve"> PAGEREF _Toc215498986 \h </w:instrText>
            </w:r>
            <w:r>
              <w:rPr>
                <w:noProof/>
                <w:webHidden/>
              </w:rPr>
            </w:r>
            <w:r>
              <w:rPr>
                <w:noProof/>
                <w:webHidden/>
              </w:rPr>
              <w:fldChar w:fldCharType="separate"/>
            </w:r>
            <w:r>
              <w:rPr>
                <w:noProof/>
                <w:webHidden/>
              </w:rPr>
              <w:t>17</w:t>
            </w:r>
            <w:r>
              <w:rPr>
                <w:noProof/>
                <w:webHidden/>
              </w:rPr>
              <w:fldChar w:fldCharType="end"/>
            </w:r>
          </w:hyperlink>
        </w:p>
        <w:p w14:paraId="2E1D38E3" w14:textId="1FDD6618"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87" w:history="1">
            <w:r w:rsidRPr="001E01AF">
              <w:rPr>
                <w:rStyle w:val="Lienhypertexte"/>
                <w:noProof/>
              </w:rPr>
              <w:t>Article 23.</w:t>
            </w:r>
            <w:r>
              <w:rPr>
                <w:rFonts w:eastAsiaTheme="minorEastAsia" w:cstheme="minorBidi"/>
                <w:noProof/>
                <w:kern w:val="2"/>
                <w:sz w:val="24"/>
                <w:szCs w:val="24"/>
                <w:lang w:eastAsia="fr-BE"/>
                <w14:ligatures w14:val="standardContextual"/>
              </w:rPr>
              <w:tab/>
            </w:r>
            <w:r w:rsidRPr="001E01AF">
              <w:rPr>
                <w:rStyle w:val="Lienhypertexte"/>
                <w:noProof/>
              </w:rPr>
              <w:t>Services de Recherche et de Développement</w:t>
            </w:r>
            <w:r>
              <w:rPr>
                <w:noProof/>
                <w:webHidden/>
              </w:rPr>
              <w:tab/>
            </w:r>
            <w:r>
              <w:rPr>
                <w:noProof/>
                <w:webHidden/>
              </w:rPr>
              <w:fldChar w:fldCharType="begin"/>
            </w:r>
            <w:r>
              <w:rPr>
                <w:noProof/>
                <w:webHidden/>
              </w:rPr>
              <w:instrText xml:space="preserve"> PAGEREF _Toc215498987 \h </w:instrText>
            </w:r>
            <w:r>
              <w:rPr>
                <w:noProof/>
                <w:webHidden/>
              </w:rPr>
            </w:r>
            <w:r>
              <w:rPr>
                <w:noProof/>
                <w:webHidden/>
              </w:rPr>
              <w:fldChar w:fldCharType="separate"/>
            </w:r>
            <w:r>
              <w:rPr>
                <w:noProof/>
                <w:webHidden/>
              </w:rPr>
              <w:t>17</w:t>
            </w:r>
            <w:r>
              <w:rPr>
                <w:noProof/>
                <w:webHidden/>
              </w:rPr>
              <w:fldChar w:fldCharType="end"/>
            </w:r>
          </w:hyperlink>
        </w:p>
        <w:p w14:paraId="321C15A3" w14:textId="70876985"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88" w:history="1">
            <w:r w:rsidRPr="001E01AF">
              <w:rPr>
                <w:rStyle w:val="Lienhypertexte"/>
                <w:noProof/>
              </w:rPr>
              <w:t>Article 24.</w:t>
            </w:r>
            <w:r>
              <w:rPr>
                <w:rFonts w:eastAsiaTheme="minorEastAsia" w:cstheme="minorBidi"/>
                <w:noProof/>
                <w:kern w:val="2"/>
                <w:sz w:val="24"/>
                <w:szCs w:val="24"/>
                <w:lang w:eastAsia="fr-BE"/>
                <w14:ligatures w14:val="standardContextual"/>
              </w:rPr>
              <w:tab/>
            </w:r>
            <w:r w:rsidRPr="001E01AF">
              <w:rPr>
                <w:rStyle w:val="Lienhypertexte"/>
                <w:noProof/>
              </w:rPr>
              <w:t>Jalons et Livrables</w:t>
            </w:r>
            <w:r>
              <w:rPr>
                <w:noProof/>
                <w:webHidden/>
              </w:rPr>
              <w:tab/>
            </w:r>
            <w:r>
              <w:rPr>
                <w:noProof/>
                <w:webHidden/>
              </w:rPr>
              <w:fldChar w:fldCharType="begin"/>
            </w:r>
            <w:r>
              <w:rPr>
                <w:noProof/>
                <w:webHidden/>
              </w:rPr>
              <w:instrText xml:space="preserve"> PAGEREF _Toc215498988 \h </w:instrText>
            </w:r>
            <w:r>
              <w:rPr>
                <w:noProof/>
                <w:webHidden/>
              </w:rPr>
            </w:r>
            <w:r>
              <w:rPr>
                <w:noProof/>
                <w:webHidden/>
              </w:rPr>
              <w:fldChar w:fldCharType="separate"/>
            </w:r>
            <w:r>
              <w:rPr>
                <w:noProof/>
                <w:webHidden/>
              </w:rPr>
              <w:t>17</w:t>
            </w:r>
            <w:r>
              <w:rPr>
                <w:noProof/>
                <w:webHidden/>
              </w:rPr>
              <w:fldChar w:fldCharType="end"/>
            </w:r>
          </w:hyperlink>
        </w:p>
        <w:p w14:paraId="7A76D864" w14:textId="0210F4C7" w:rsidR="0044019D" w:rsidRDefault="0044019D">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8989" w:history="1">
            <w:r w:rsidRPr="001E01AF">
              <w:rPr>
                <w:rStyle w:val="Lienhypertexte"/>
                <w:noProof/>
              </w:rPr>
              <w:t>Section 2.</w:t>
            </w:r>
            <w:r>
              <w:rPr>
                <w:rFonts w:eastAsiaTheme="minorEastAsia" w:cstheme="minorBidi"/>
                <w:i w:val="0"/>
                <w:iCs w:val="0"/>
                <w:noProof/>
                <w:kern w:val="2"/>
                <w:sz w:val="24"/>
                <w:szCs w:val="24"/>
                <w:lang w:eastAsia="fr-BE"/>
                <w14:ligatures w14:val="standardContextual"/>
              </w:rPr>
              <w:tab/>
            </w:r>
            <w:r w:rsidRPr="001E01AF">
              <w:rPr>
                <w:rStyle w:val="Lienhypertexte"/>
                <w:noProof/>
              </w:rPr>
              <w:t>Exécution des Services de Recherche et de Développement</w:t>
            </w:r>
            <w:r>
              <w:rPr>
                <w:noProof/>
                <w:webHidden/>
              </w:rPr>
              <w:tab/>
            </w:r>
            <w:r>
              <w:rPr>
                <w:noProof/>
                <w:webHidden/>
              </w:rPr>
              <w:fldChar w:fldCharType="begin"/>
            </w:r>
            <w:r>
              <w:rPr>
                <w:noProof/>
                <w:webHidden/>
              </w:rPr>
              <w:instrText xml:space="preserve"> PAGEREF _Toc215498989 \h </w:instrText>
            </w:r>
            <w:r>
              <w:rPr>
                <w:noProof/>
                <w:webHidden/>
              </w:rPr>
            </w:r>
            <w:r>
              <w:rPr>
                <w:noProof/>
                <w:webHidden/>
              </w:rPr>
              <w:fldChar w:fldCharType="separate"/>
            </w:r>
            <w:r>
              <w:rPr>
                <w:noProof/>
                <w:webHidden/>
              </w:rPr>
              <w:t>17</w:t>
            </w:r>
            <w:r>
              <w:rPr>
                <w:noProof/>
                <w:webHidden/>
              </w:rPr>
              <w:fldChar w:fldCharType="end"/>
            </w:r>
          </w:hyperlink>
        </w:p>
        <w:p w14:paraId="3C586DCA" w14:textId="7641B998"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90" w:history="1">
            <w:r w:rsidRPr="001E01AF">
              <w:rPr>
                <w:rStyle w:val="Lienhypertexte"/>
                <w:noProof/>
              </w:rPr>
              <w:t>Article 25.</w:t>
            </w:r>
            <w:r>
              <w:rPr>
                <w:rFonts w:eastAsiaTheme="minorEastAsia" w:cstheme="minorBidi"/>
                <w:noProof/>
                <w:kern w:val="2"/>
                <w:sz w:val="24"/>
                <w:szCs w:val="24"/>
                <w:lang w:eastAsia="fr-BE"/>
                <w14:ligatures w14:val="standardContextual"/>
              </w:rPr>
              <w:tab/>
            </w:r>
            <w:r w:rsidRPr="001E01AF">
              <w:rPr>
                <w:rStyle w:val="Lienhypertexte"/>
                <w:noProof/>
              </w:rPr>
              <w:t>Exécution des Services de Recherche et de Développement</w:t>
            </w:r>
            <w:r>
              <w:rPr>
                <w:noProof/>
                <w:webHidden/>
              </w:rPr>
              <w:tab/>
            </w:r>
            <w:r>
              <w:rPr>
                <w:noProof/>
                <w:webHidden/>
              </w:rPr>
              <w:fldChar w:fldCharType="begin"/>
            </w:r>
            <w:r>
              <w:rPr>
                <w:noProof/>
                <w:webHidden/>
              </w:rPr>
              <w:instrText xml:space="preserve"> PAGEREF _Toc215498990 \h </w:instrText>
            </w:r>
            <w:r>
              <w:rPr>
                <w:noProof/>
                <w:webHidden/>
              </w:rPr>
            </w:r>
            <w:r>
              <w:rPr>
                <w:noProof/>
                <w:webHidden/>
              </w:rPr>
              <w:fldChar w:fldCharType="separate"/>
            </w:r>
            <w:r>
              <w:rPr>
                <w:noProof/>
                <w:webHidden/>
              </w:rPr>
              <w:t>17</w:t>
            </w:r>
            <w:r>
              <w:rPr>
                <w:noProof/>
                <w:webHidden/>
              </w:rPr>
              <w:fldChar w:fldCharType="end"/>
            </w:r>
          </w:hyperlink>
        </w:p>
        <w:p w14:paraId="2778A2CB" w14:textId="2CAD4ECB"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91" w:history="1">
            <w:r w:rsidRPr="001E01AF">
              <w:rPr>
                <w:rStyle w:val="Lienhypertexte"/>
                <w:noProof/>
              </w:rPr>
              <w:t>Article 26.</w:t>
            </w:r>
            <w:r>
              <w:rPr>
                <w:rFonts w:eastAsiaTheme="minorEastAsia" w:cstheme="minorBidi"/>
                <w:noProof/>
                <w:kern w:val="2"/>
                <w:sz w:val="24"/>
                <w:szCs w:val="24"/>
                <w:lang w:eastAsia="fr-BE"/>
                <w14:ligatures w14:val="standardContextual"/>
              </w:rPr>
              <w:tab/>
            </w:r>
            <w:r w:rsidRPr="001E01AF">
              <w:rPr>
                <w:rStyle w:val="Lienhypertexte"/>
                <w:noProof/>
              </w:rPr>
              <w:t>Rapport final</w:t>
            </w:r>
            <w:r>
              <w:rPr>
                <w:noProof/>
                <w:webHidden/>
              </w:rPr>
              <w:tab/>
            </w:r>
            <w:r>
              <w:rPr>
                <w:noProof/>
                <w:webHidden/>
              </w:rPr>
              <w:fldChar w:fldCharType="begin"/>
            </w:r>
            <w:r>
              <w:rPr>
                <w:noProof/>
                <w:webHidden/>
              </w:rPr>
              <w:instrText xml:space="preserve"> PAGEREF _Toc215498991 \h </w:instrText>
            </w:r>
            <w:r>
              <w:rPr>
                <w:noProof/>
                <w:webHidden/>
              </w:rPr>
            </w:r>
            <w:r>
              <w:rPr>
                <w:noProof/>
                <w:webHidden/>
              </w:rPr>
              <w:fldChar w:fldCharType="separate"/>
            </w:r>
            <w:r>
              <w:rPr>
                <w:noProof/>
                <w:webHidden/>
              </w:rPr>
              <w:t>19</w:t>
            </w:r>
            <w:r>
              <w:rPr>
                <w:noProof/>
                <w:webHidden/>
              </w:rPr>
              <w:fldChar w:fldCharType="end"/>
            </w:r>
          </w:hyperlink>
        </w:p>
        <w:p w14:paraId="5A0A195D" w14:textId="1CE190C4"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92" w:history="1">
            <w:r w:rsidRPr="001E01AF">
              <w:rPr>
                <w:rStyle w:val="Lienhypertexte"/>
                <w:noProof/>
              </w:rPr>
              <w:t>Article 27.</w:t>
            </w:r>
            <w:r>
              <w:rPr>
                <w:rFonts w:eastAsiaTheme="minorEastAsia" w:cstheme="minorBidi"/>
                <w:noProof/>
                <w:kern w:val="2"/>
                <w:sz w:val="24"/>
                <w:szCs w:val="24"/>
                <w:lang w:eastAsia="fr-BE"/>
                <w14:ligatures w14:val="standardContextual"/>
              </w:rPr>
              <w:tab/>
            </w:r>
            <w:r w:rsidRPr="001E01AF">
              <w:rPr>
                <w:rStyle w:val="Lienhypertexte"/>
                <w:noProof/>
              </w:rPr>
              <w:t>Registres</w:t>
            </w:r>
            <w:r>
              <w:rPr>
                <w:noProof/>
                <w:webHidden/>
              </w:rPr>
              <w:tab/>
            </w:r>
            <w:r>
              <w:rPr>
                <w:noProof/>
                <w:webHidden/>
              </w:rPr>
              <w:fldChar w:fldCharType="begin"/>
            </w:r>
            <w:r>
              <w:rPr>
                <w:noProof/>
                <w:webHidden/>
              </w:rPr>
              <w:instrText xml:space="preserve"> PAGEREF _Toc215498992 \h </w:instrText>
            </w:r>
            <w:r>
              <w:rPr>
                <w:noProof/>
                <w:webHidden/>
              </w:rPr>
            </w:r>
            <w:r>
              <w:rPr>
                <w:noProof/>
                <w:webHidden/>
              </w:rPr>
              <w:fldChar w:fldCharType="separate"/>
            </w:r>
            <w:r>
              <w:rPr>
                <w:noProof/>
                <w:webHidden/>
              </w:rPr>
              <w:t>19</w:t>
            </w:r>
            <w:r>
              <w:rPr>
                <w:noProof/>
                <w:webHidden/>
              </w:rPr>
              <w:fldChar w:fldCharType="end"/>
            </w:r>
          </w:hyperlink>
        </w:p>
        <w:p w14:paraId="507BF9E6" w14:textId="5C1B23AB"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93" w:history="1">
            <w:r w:rsidRPr="001E01AF">
              <w:rPr>
                <w:rStyle w:val="Lienhypertexte"/>
                <w:noProof/>
              </w:rPr>
              <w:t>Article 28.</w:t>
            </w:r>
            <w:r>
              <w:rPr>
                <w:rFonts w:eastAsiaTheme="minorEastAsia" w:cstheme="minorBidi"/>
                <w:noProof/>
                <w:kern w:val="2"/>
                <w:sz w:val="24"/>
                <w:szCs w:val="24"/>
                <w:lang w:eastAsia="fr-BE"/>
                <w14:ligatures w14:val="standardContextual"/>
              </w:rPr>
              <w:tab/>
            </w:r>
            <w:r w:rsidRPr="001E01AF">
              <w:rPr>
                <w:rStyle w:val="Lienhypertexte"/>
                <w:noProof/>
              </w:rPr>
              <w:t>Communication sur les Résultats</w:t>
            </w:r>
            <w:r>
              <w:rPr>
                <w:noProof/>
                <w:webHidden/>
              </w:rPr>
              <w:tab/>
            </w:r>
            <w:r>
              <w:rPr>
                <w:noProof/>
                <w:webHidden/>
              </w:rPr>
              <w:fldChar w:fldCharType="begin"/>
            </w:r>
            <w:r>
              <w:rPr>
                <w:noProof/>
                <w:webHidden/>
              </w:rPr>
              <w:instrText xml:space="preserve"> PAGEREF _Toc215498993 \h </w:instrText>
            </w:r>
            <w:r>
              <w:rPr>
                <w:noProof/>
                <w:webHidden/>
              </w:rPr>
            </w:r>
            <w:r>
              <w:rPr>
                <w:noProof/>
                <w:webHidden/>
              </w:rPr>
              <w:fldChar w:fldCharType="separate"/>
            </w:r>
            <w:r>
              <w:rPr>
                <w:noProof/>
                <w:webHidden/>
              </w:rPr>
              <w:t>20</w:t>
            </w:r>
            <w:r>
              <w:rPr>
                <w:noProof/>
                <w:webHidden/>
              </w:rPr>
              <w:fldChar w:fldCharType="end"/>
            </w:r>
          </w:hyperlink>
        </w:p>
        <w:p w14:paraId="3F2EC2B9" w14:textId="25108180"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94" w:history="1">
            <w:r w:rsidRPr="001E01AF">
              <w:rPr>
                <w:rStyle w:val="Lienhypertexte"/>
                <w:noProof/>
              </w:rPr>
              <w:t>Article 29.</w:t>
            </w:r>
            <w:r>
              <w:rPr>
                <w:rFonts w:eastAsiaTheme="minorEastAsia" w:cstheme="minorBidi"/>
                <w:noProof/>
                <w:kern w:val="2"/>
                <w:sz w:val="24"/>
                <w:szCs w:val="24"/>
                <w:lang w:eastAsia="fr-BE"/>
                <w14:ligatures w14:val="standardContextual"/>
              </w:rPr>
              <w:tab/>
            </w:r>
            <w:r w:rsidRPr="001E01AF">
              <w:rPr>
                <w:rStyle w:val="Lienhypertexte"/>
                <w:noProof/>
              </w:rPr>
              <w:t>Exploitation des Résultats</w:t>
            </w:r>
            <w:r>
              <w:rPr>
                <w:noProof/>
                <w:webHidden/>
              </w:rPr>
              <w:tab/>
            </w:r>
            <w:r>
              <w:rPr>
                <w:noProof/>
                <w:webHidden/>
              </w:rPr>
              <w:fldChar w:fldCharType="begin"/>
            </w:r>
            <w:r>
              <w:rPr>
                <w:noProof/>
                <w:webHidden/>
              </w:rPr>
              <w:instrText xml:space="preserve"> PAGEREF _Toc215498994 \h </w:instrText>
            </w:r>
            <w:r>
              <w:rPr>
                <w:noProof/>
                <w:webHidden/>
              </w:rPr>
            </w:r>
            <w:r>
              <w:rPr>
                <w:noProof/>
                <w:webHidden/>
              </w:rPr>
              <w:fldChar w:fldCharType="separate"/>
            </w:r>
            <w:r>
              <w:rPr>
                <w:noProof/>
                <w:webHidden/>
              </w:rPr>
              <w:t>20</w:t>
            </w:r>
            <w:r>
              <w:rPr>
                <w:noProof/>
                <w:webHidden/>
              </w:rPr>
              <w:fldChar w:fldCharType="end"/>
            </w:r>
          </w:hyperlink>
        </w:p>
        <w:p w14:paraId="7FF108B2" w14:textId="398A6C8E" w:rsidR="0044019D" w:rsidRDefault="0044019D">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8995" w:history="1">
            <w:r w:rsidRPr="001E01AF">
              <w:rPr>
                <w:rStyle w:val="Lienhypertexte"/>
                <w:noProof/>
              </w:rPr>
              <w:t>Section 3.</w:t>
            </w:r>
            <w:r>
              <w:rPr>
                <w:rFonts w:eastAsiaTheme="minorEastAsia" w:cstheme="minorBidi"/>
                <w:i w:val="0"/>
                <w:iCs w:val="0"/>
                <w:noProof/>
                <w:kern w:val="2"/>
                <w:sz w:val="24"/>
                <w:szCs w:val="24"/>
                <w:lang w:eastAsia="fr-BE"/>
                <w14:ligatures w14:val="standardContextual"/>
              </w:rPr>
              <w:tab/>
            </w:r>
            <w:r w:rsidRPr="001E01AF">
              <w:rPr>
                <w:rStyle w:val="Lienhypertexte"/>
                <w:noProof/>
              </w:rPr>
              <w:t>Droits de propriété intellectuelle</w:t>
            </w:r>
            <w:r>
              <w:rPr>
                <w:noProof/>
                <w:webHidden/>
              </w:rPr>
              <w:tab/>
            </w:r>
            <w:r>
              <w:rPr>
                <w:noProof/>
                <w:webHidden/>
              </w:rPr>
              <w:fldChar w:fldCharType="begin"/>
            </w:r>
            <w:r>
              <w:rPr>
                <w:noProof/>
                <w:webHidden/>
              </w:rPr>
              <w:instrText xml:space="preserve"> PAGEREF _Toc215498995 \h </w:instrText>
            </w:r>
            <w:r>
              <w:rPr>
                <w:noProof/>
                <w:webHidden/>
              </w:rPr>
            </w:r>
            <w:r>
              <w:rPr>
                <w:noProof/>
                <w:webHidden/>
              </w:rPr>
              <w:fldChar w:fldCharType="separate"/>
            </w:r>
            <w:r>
              <w:rPr>
                <w:noProof/>
                <w:webHidden/>
              </w:rPr>
              <w:t>20</w:t>
            </w:r>
            <w:r>
              <w:rPr>
                <w:noProof/>
                <w:webHidden/>
              </w:rPr>
              <w:fldChar w:fldCharType="end"/>
            </w:r>
          </w:hyperlink>
        </w:p>
        <w:p w14:paraId="5CE79E88" w14:textId="773EF985"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96" w:history="1">
            <w:r w:rsidRPr="001E01AF">
              <w:rPr>
                <w:rStyle w:val="Lienhypertexte"/>
                <w:noProof/>
              </w:rPr>
              <w:t>Article 30.</w:t>
            </w:r>
            <w:r>
              <w:rPr>
                <w:rFonts w:eastAsiaTheme="minorEastAsia" w:cstheme="minorBidi"/>
                <w:noProof/>
                <w:kern w:val="2"/>
                <w:sz w:val="24"/>
                <w:szCs w:val="24"/>
                <w:lang w:eastAsia="fr-BE"/>
                <w14:ligatures w14:val="standardContextual"/>
              </w:rPr>
              <w:tab/>
            </w:r>
            <w:r w:rsidRPr="001E01AF">
              <w:rPr>
                <w:rStyle w:val="Lienhypertexte"/>
                <w:noProof/>
              </w:rPr>
              <w:t>Droits de propriété intellectuelle</w:t>
            </w:r>
            <w:r>
              <w:rPr>
                <w:noProof/>
                <w:webHidden/>
              </w:rPr>
              <w:tab/>
            </w:r>
            <w:r>
              <w:rPr>
                <w:noProof/>
                <w:webHidden/>
              </w:rPr>
              <w:fldChar w:fldCharType="begin"/>
            </w:r>
            <w:r>
              <w:rPr>
                <w:noProof/>
                <w:webHidden/>
              </w:rPr>
              <w:instrText xml:space="preserve"> PAGEREF _Toc215498996 \h </w:instrText>
            </w:r>
            <w:r>
              <w:rPr>
                <w:noProof/>
                <w:webHidden/>
              </w:rPr>
            </w:r>
            <w:r>
              <w:rPr>
                <w:noProof/>
                <w:webHidden/>
              </w:rPr>
              <w:fldChar w:fldCharType="separate"/>
            </w:r>
            <w:r>
              <w:rPr>
                <w:noProof/>
                <w:webHidden/>
              </w:rPr>
              <w:t>20</w:t>
            </w:r>
            <w:r>
              <w:rPr>
                <w:noProof/>
                <w:webHidden/>
              </w:rPr>
              <w:fldChar w:fldCharType="end"/>
            </w:r>
          </w:hyperlink>
        </w:p>
        <w:p w14:paraId="3CB9A9A3" w14:textId="402A4632"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97" w:history="1">
            <w:r w:rsidRPr="001E01AF">
              <w:rPr>
                <w:rStyle w:val="Lienhypertexte"/>
                <w:noProof/>
              </w:rPr>
              <w:t>Article 31.</w:t>
            </w:r>
            <w:r>
              <w:rPr>
                <w:rFonts w:eastAsiaTheme="minorEastAsia" w:cstheme="minorBidi"/>
                <w:noProof/>
                <w:kern w:val="2"/>
                <w:sz w:val="24"/>
                <w:szCs w:val="24"/>
                <w:lang w:eastAsia="fr-BE"/>
                <w14:ligatures w14:val="standardContextual"/>
              </w:rPr>
              <w:tab/>
            </w:r>
            <w:r w:rsidRPr="001E01AF">
              <w:rPr>
                <w:rStyle w:val="Lienhypertexte"/>
                <w:noProof/>
              </w:rPr>
              <w:t>Résultats</w:t>
            </w:r>
            <w:r>
              <w:rPr>
                <w:noProof/>
                <w:webHidden/>
              </w:rPr>
              <w:tab/>
            </w:r>
            <w:r>
              <w:rPr>
                <w:noProof/>
                <w:webHidden/>
              </w:rPr>
              <w:fldChar w:fldCharType="begin"/>
            </w:r>
            <w:r>
              <w:rPr>
                <w:noProof/>
                <w:webHidden/>
              </w:rPr>
              <w:instrText xml:space="preserve"> PAGEREF _Toc215498997 \h </w:instrText>
            </w:r>
            <w:r>
              <w:rPr>
                <w:noProof/>
                <w:webHidden/>
              </w:rPr>
            </w:r>
            <w:r>
              <w:rPr>
                <w:noProof/>
                <w:webHidden/>
              </w:rPr>
              <w:fldChar w:fldCharType="separate"/>
            </w:r>
            <w:r>
              <w:rPr>
                <w:noProof/>
                <w:webHidden/>
              </w:rPr>
              <w:t>21</w:t>
            </w:r>
            <w:r>
              <w:rPr>
                <w:noProof/>
                <w:webHidden/>
              </w:rPr>
              <w:fldChar w:fldCharType="end"/>
            </w:r>
          </w:hyperlink>
        </w:p>
        <w:p w14:paraId="39ADB113" w14:textId="48FAF38B" w:rsidR="0044019D" w:rsidRDefault="0044019D">
          <w:pPr>
            <w:pStyle w:val="TM1"/>
            <w:rPr>
              <w:rFonts w:eastAsiaTheme="minorEastAsia" w:cstheme="minorBidi"/>
              <w:b w:val="0"/>
              <w:bCs w:val="0"/>
              <w:noProof/>
              <w:kern w:val="2"/>
              <w:sz w:val="24"/>
              <w:szCs w:val="24"/>
              <w:lang w:eastAsia="fr-BE"/>
              <w14:ligatures w14:val="standardContextual"/>
            </w:rPr>
          </w:pPr>
          <w:hyperlink w:anchor="_Toc215498998" w:history="1">
            <w:r w:rsidRPr="001E01AF">
              <w:rPr>
                <w:rStyle w:val="Lienhypertexte"/>
                <w:noProof/>
              </w:rPr>
              <w:t>Hoofdstuk III.</w:t>
            </w:r>
            <w:r>
              <w:rPr>
                <w:rFonts w:eastAsiaTheme="minorEastAsia" w:cstheme="minorBidi"/>
                <w:b w:val="0"/>
                <w:bCs w:val="0"/>
                <w:noProof/>
                <w:kern w:val="2"/>
                <w:sz w:val="24"/>
                <w:szCs w:val="24"/>
                <w:lang w:eastAsia="fr-BE"/>
                <w14:ligatures w14:val="standardContextual"/>
              </w:rPr>
              <w:tab/>
            </w:r>
            <w:r w:rsidRPr="001E01AF">
              <w:rPr>
                <w:rStyle w:val="Lienhypertexte"/>
                <w:noProof/>
              </w:rPr>
              <w:t>Dispositions spécifiques relatives à la livraison de biens</w:t>
            </w:r>
            <w:r>
              <w:rPr>
                <w:noProof/>
                <w:webHidden/>
              </w:rPr>
              <w:tab/>
            </w:r>
            <w:r>
              <w:rPr>
                <w:noProof/>
                <w:webHidden/>
              </w:rPr>
              <w:fldChar w:fldCharType="begin"/>
            </w:r>
            <w:r>
              <w:rPr>
                <w:noProof/>
                <w:webHidden/>
              </w:rPr>
              <w:instrText xml:space="preserve"> PAGEREF _Toc215498998 \h </w:instrText>
            </w:r>
            <w:r>
              <w:rPr>
                <w:noProof/>
                <w:webHidden/>
              </w:rPr>
            </w:r>
            <w:r>
              <w:rPr>
                <w:noProof/>
                <w:webHidden/>
              </w:rPr>
              <w:fldChar w:fldCharType="separate"/>
            </w:r>
            <w:r>
              <w:rPr>
                <w:noProof/>
                <w:webHidden/>
              </w:rPr>
              <w:t>22</w:t>
            </w:r>
            <w:r>
              <w:rPr>
                <w:noProof/>
                <w:webHidden/>
              </w:rPr>
              <w:fldChar w:fldCharType="end"/>
            </w:r>
          </w:hyperlink>
        </w:p>
        <w:p w14:paraId="576EFE18" w14:textId="5374AE9D"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999" w:history="1">
            <w:r w:rsidRPr="001E01AF">
              <w:rPr>
                <w:rStyle w:val="Lienhypertexte"/>
                <w:noProof/>
              </w:rPr>
              <w:t>Article 32.</w:t>
            </w:r>
            <w:r>
              <w:rPr>
                <w:rFonts w:eastAsiaTheme="minorEastAsia" w:cstheme="minorBidi"/>
                <w:noProof/>
                <w:kern w:val="2"/>
                <w:sz w:val="24"/>
                <w:szCs w:val="24"/>
                <w:lang w:eastAsia="fr-BE"/>
                <w14:ligatures w14:val="standardContextual"/>
              </w:rPr>
              <w:tab/>
            </w:r>
            <w:r w:rsidRPr="001E01AF">
              <w:rPr>
                <w:rStyle w:val="Lienhypertexte"/>
                <w:noProof/>
              </w:rPr>
              <w:t>Livraisons</w:t>
            </w:r>
            <w:r>
              <w:rPr>
                <w:noProof/>
                <w:webHidden/>
              </w:rPr>
              <w:tab/>
            </w:r>
            <w:r>
              <w:rPr>
                <w:noProof/>
                <w:webHidden/>
              </w:rPr>
              <w:fldChar w:fldCharType="begin"/>
            </w:r>
            <w:r>
              <w:rPr>
                <w:noProof/>
                <w:webHidden/>
              </w:rPr>
              <w:instrText xml:space="preserve"> PAGEREF _Toc215498999 \h </w:instrText>
            </w:r>
            <w:r>
              <w:rPr>
                <w:noProof/>
                <w:webHidden/>
              </w:rPr>
            </w:r>
            <w:r>
              <w:rPr>
                <w:noProof/>
                <w:webHidden/>
              </w:rPr>
              <w:fldChar w:fldCharType="separate"/>
            </w:r>
            <w:r>
              <w:rPr>
                <w:noProof/>
                <w:webHidden/>
              </w:rPr>
              <w:t>22</w:t>
            </w:r>
            <w:r>
              <w:rPr>
                <w:noProof/>
                <w:webHidden/>
              </w:rPr>
              <w:fldChar w:fldCharType="end"/>
            </w:r>
          </w:hyperlink>
        </w:p>
        <w:p w14:paraId="5816B08A" w14:textId="5DA05F8D"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9000" w:history="1">
            <w:r w:rsidRPr="001E01AF">
              <w:rPr>
                <w:rStyle w:val="Lienhypertexte"/>
                <w:noProof/>
              </w:rPr>
              <w:t>Article 33.</w:t>
            </w:r>
            <w:r>
              <w:rPr>
                <w:rFonts w:eastAsiaTheme="minorEastAsia" w:cstheme="minorBidi"/>
                <w:noProof/>
                <w:kern w:val="2"/>
                <w:sz w:val="24"/>
                <w:szCs w:val="24"/>
                <w:lang w:eastAsia="fr-BE"/>
                <w14:ligatures w14:val="standardContextual"/>
              </w:rPr>
              <w:tab/>
            </w:r>
            <w:r w:rsidRPr="001E01AF">
              <w:rPr>
                <w:rStyle w:val="Lienhypertexte"/>
                <w:noProof/>
              </w:rPr>
              <w:t>Délai de livraison</w:t>
            </w:r>
            <w:r>
              <w:rPr>
                <w:noProof/>
                <w:webHidden/>
              </w:rPr>
              <w:tab/>
            </w:r>
            <w:r>
              <w:rPr>
                <w:noProof/>
                <w:webHidden/>
              </w:rPr>
              <w:fldChar w:fldCharType="begin"/>
            </w:r>
            <w:r>
              <w:rPr>
                <w:noProof/>
                <w:webHidden/>
              </w:rPr>
              <w:instrText xml:space="preserve"> PAGEREF _Toc215499000 \h </w:instrText>
            </w:r>
            <w:r>
              <w:rPr>
                <w:noProof/>
                <w:webHidden/>
              </w:rPr>
            </w:r>
            <w:r>
              <w:rPr>
                <w:noProof/>
                <w:webHidden/>
              </w:rPr>
              <w:fldChar w:fldCharType="separate"/>
            </w:r>
            <w:r>
              <w:rPr>
                <w:noProof/>
                <w:webHidden/>
              </w:rPr>
              <w:t>23</w:t>
            </w:r>
            <w:r>
              <w:rPr>
                <w:noProof/>
                <w:webHidden/>
              </w:rPr>
              <w:fldChar w:fldCharType="end"/>
            </w:r>
          </w:hyperlink>
        </w:p>
        <w:p w14:paraId="797F8575" w14:textId="4CAB527E"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9001" w:history="1">
            <w:r w:rsidRPr="001E01AF">
              <w:rPr>
                <w:rStyle w:val="Lienhypertexte"/>
                <w:noProof/>
              </w:rPr>
              <w:t>Article 34.</w:t>
            </w:r>
            <w:r>
              <w:rPr>
                <w:rFonts w:eastAsiaTheme="minorEastAsia" w:cstheme="minorBidi"/>
                <w:noProof/>
                <w:kern w:val="2"/>
                <w:sz w:val="24"/>
                <w:szCs w:val="24"/>
                <w:lang w:eastAsia="fr-BE"/>
                <w14:ligatures w14:val="standardContextual"/>
              </w:rPr>
              <w:tab/>
            </w:r>
            <w:r w:rsidRPr="001E01AF">
              <w:rPr>
                <w:rStyle w:val="Lienhypertexte"/>
                <w:noProof/>
              </w:rPr>
              <w:t>Partie conditionnelle</w:t>
            </w:r>
            <w:r>
              <w:rPr>
                <w:noProof/>
                <w:webHidden/>
              </w:rPr>
              <w:tab/>
            </w:r>
            <w:r>
              <w:rPr>
                <w:noProof/>
                <w:webHidden/>
              </w:rPr>
              <w:fldChar w:fldCharType="begin"/>
            </w:r>
            <w:r>
              <w:rPr>
                <w:noProof/>
                <w:webHidden/>
              </w:rPr>
              <w:instrText xml:space="preserve"> PAGEREF _Toc215499001 \h </w:instrText>
            </w:r>
            <w:r>
              <w:rPr>
                <w:noProof/>
                <w:webHidden/>
              </w:rPr>
            </w:r>
            <w:r>
              <w:rPr>
                <w:noProof/>
                <w:webHidden/>
              </w:rPr>
              <w:fldChar w:fldCharType="separate"/>
            </w:r>
            <w:r>
              <w:rPr>
                <w:noProof/>
                <w:webHidden/>
              </w:rPr>
              <w:t>23</w:t>
            </w:r>
            <w:r>
              <w:rPr>
                <w:noProof/>
                <w:webHidden/>
              </w:rPr>
              <w:fldChar w:fldCharType="end"/>
            </w:r>
          </w:hyperlink>
        </w:p>
        <w:p w14:paraId="2C2FC5DA" w14:textId="06ABB306" w:rsidR="0044019D" w:rsidRDefault="0044019D">
          <w:pPr>
            <w:pStyle w:val="TM1"/>
            <w:rPr>
              <w:rFonts w:eastAsiaTheme="minorEastAsia" w:cstheme="minorBidi"/>
              <w:b w:val="0"/>
              <w:bCs w:val="0"/>
              <w:noProof/>
              <w:kern w:val="2"/>
              <w:sz w:val="24"/>
              <w:szCs w:val="24"/>
              <w:lang w:eastAsia="fr-BE"/>
              <w14:ligatures w14:val="standardContextual"/>
            </w:rPr>
          </w:pPr>
          <w:hyperlink w:anchor="_Toc215499002" w:history="1">
            <w:r w:rsidRPr="001E01AF">
              <w:rPr>
                <w:rStyle w:val="Lienhypertexte"/>
                <w:noProof/>
              </w:rPr>
              <w:t>Hoofdstuk IV.</w:t>
            </w:r>
            <w:r>
              <w:rPr>
                <w:rFonts w:eastAsiaTheme="minorEastAsia" w:cstheme="minorBidi"/>
                <w:b w:val="0"/>
                <w:bCs w:val="0"/>
                <w:noProof/>
                <w:kern w:val="2"/>
                <w:sz w:val="24"/>
                <w:szCs w:val="24"/>
                <w:lang w:eastAsia="fr-BE"/>
                <w14:ligatures w14:val="standardContextual"/>
              </w:rPr>
              <w:tab/>
            </w:r>
            <w:r w:rsidRPr="001E01AF">
              <w:rPr>
                <w:rStyle w:val="Lienhypertexte"/>
                <w:noProof/>
              </w:rPr>
              <w:t>Dispositions financières</w:t>
            </w:r>
            <w:r>
              <w:rPr>
                <w:noProof/>
                <w:webHidden/>
              </w:rPr>
              <w:tab/>
            </w:r>
            <w:r>
              <w:rPr>
                <w:noProof/>
                <w:webHidden/>
              </w:rPr>
              <w:fldChar w:fldCharType="begin"/>
            </w:r>
            <w:r>
              <w:rPr>
                <w:noProof/>
                <w:webHidden/>
              </w:rPr>
              <w:instrText xml:space="preserve"> PAGEREF _Toc215499002 \h </w:instrText>
            </w:r>
            <w:r>
              <w:rPr>
                <w:noProof/>
                <w:webHidden/>
              </w:rPr>
            </w:r>
            <w:r>
              <w:rPr>
                <w:noProof/>
                <w:webHidden/>
              </w:rPr>
              <w:fldChar w:fldCharType="separate"/>
            </w:r>
            <w:r>
              <w:rPr>
                <w:noProof/>
                <w:webHidden/>
              </w:rPr>
              <w:t>23</w:t>
            </w:r>
            <w:r>
              <w:rPr>
                <w:noProof/>
                <w:webHidden/>
              </w:rPr>
              <w:fldChar w:fldCharType="end"/>
            </w:r>
          </w:hyperlink>
        </w:p>
        <w:p w14:paraId="3FC608D9" w14:textId="7F2AF110" w:rsidR="0044019D" w:rsidRDefault="0044019D">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9003" w:history="1">
            <w:r w:rsidRPr="001E01AF">
              <w:rPr>
                <w:rStyle w:val="Lienhypertexte"/>
                <w:noProof/>
              </w:rPr>
              <w:t>Section 1.</w:t>
            </w:r>
            <w:r>
              <w:rPr>
                <w:rFonts w:eastAsiaTheme="minorEastAsia" w:cstheme="minorBidi"/>
                <w:i w:val="0"/>
                <w:iCs w:val="0"/>
                <w:noProof/>
                <w:kern w:val="2"/>
                <w:sz w:val="24"/>
                <w:szCs w:val="24"/>
                <w:lang w:eastAsia="fr-BE"/>
                <w14:ligatures w14:val="standardContextual"/>
              </w:rPr>
              <w:tab/>
            </w:r>
            <w:r w:rsidRPr="001E01AF">
              <w:rPr>
                <w:rStyle w:val="Lienhypertexte"/>
                <w:noProof/>
              </w:rPr>
              <w:t>Cautionnement</w:t>
            </w:r>
            <w:r>
              <w:rPr>
                <w:noProof/>
                <w:webHidden/>
              </w:rPr>
              <w:tab/>
            </w:r>
            <w:r>
              <w:rPr>
                <w:noProof/>
                <w:webHidden/>
              </w:rPr>
              <w:fldChar w:fldCharType="begin"/>
            </w:r>
            <w:r>
              <w:rPr>
                <w:noProof/>
                <w:webHidden/>
              </w:rPr>
              <w:instrText xml:space="preserve"> PAGEREF _Toc215499003 \h </w:instrText>
            </w:r>
            <w:r>
              <w:rPr>
                <w:noProof/>
                <w:webHidden/>
              </w:rPr>
            </w:r>
            <w:r>
              <w:rPr>
                <w:noProof/>
                <w:webHidden/>
              </w:rPr>
              <w:fldChar w:fldCharType="separate"/>
            </w:r>
            <w:r>
              <w:rPr>
                <w:noProof/>
                <w:webHidden/>
              </w:rPr>
              <w:t>23</w:t>
            </w:r>
            <w:r>
              <w:rPr>
                <w:noProof/>
                <w:webHidden/>
              </w:rPr>
              <w:fldChar w:fldCharType="end"/>
            </w:r>
          </w:hyperlink>
        </w:p>
        <w:p w14:paraId="2B4E3FB4" w14:textId="15D2222B"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9004" w:history="1">
            <w:r w:rsidRPr="001E01AF">
              <w:rPr>
                <w:rStyle w:val="Lienhypertexte"/>
                <w:noProof/>
              </w:rPr>
              <w:t>Article 35.</w:t>
            </w:r>
            <w:r>
              <w:rPr>
                <w:rFonts w:eastAsiaTheme="minorEastAsia" w:cstheme="minorBidi"/>
                <w:noProof/>
                <w:kern w:val="2"/>
                <w:sz w:val="24"/>
                <w:szCs w:val="24"/>
                <w:lang w:eastAsia="fr-BE"/>
                <w14:ligatures w14:val="standardContextual"/>
              </w:rPr>
              <w:tab/>
            </w:r>
            <w:r w:rsidRPr="001E01AF">
              <w:rPr>
                <w:rStyle w:val="Lienhypertexte"/>
                <w:noProof/>
              </w:rPr>
              <w:t>Cautionnement</w:t>
            </w:r>
            <w:r>
              <w:rPr>
                <w:noProof/>
                <w:webHidden/>
              </w:rPr>
              <w:tab/>
            </w:r>
            <w:r>
              <w:rPr>
                <w:noProof/>
                <w:webHidden/>
              </w:rPr>
              <w:fldChar w:fldCharType="begin"/>
            </w:r>
            <w:r>
              <w:rPr>
                <w:noProof/>
                <w:webHidden/>
              </w:rPr>
              <w:instrText xml:space="preserve"> PAGEREF _Toc215499004 \h </w:instrText>
            </w:r>
            <w:r>
              <w:rPr>
                <w:noProof/>
                <w:webHidden/>
              </w:rPr>
            </w:r>
            <w:r>
              <w:rPr>
                <w:noProof/>
                <w:webHidden/>
              </w:rPr>
              <w:fldChar w:fldCharType="separate"/>
            </w:r>
            <w:r>
              <w:rPr>
                <w:noProof/>
                <w:webHidden/>
              </w:rPr>
              <w:t>23</w:t>
            </w:r>
            <w:r>
              <w:rPr>
                <w:noProof/>
                <w:webHidden/>
              </w:rPr>
              <w:fldChar w:fldCharType="end"/>
            </w:r>
          </w:hyperlink>
        </w:p>
        <w:p w14:paraId="73EEB22E" w14:textId="6ABC5DB6" w:rsidR="0044019D" w:rsidRDefault="0044019D">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9005" w:history="1">
            <w:r w:rsidRPr="001E01AF">
              <w:rPr>
                <w:rStyle w:val="Lienhypertexte"/>
                <w:noProof/>
              </w:rPr>
              <w:t>Section 2.</w:t>
            </w:r>
            <w:r>
              <w:rPr>
                <w:rFonts w:eastAsiaTheme="minorEastAsia" w:cstheme="minorBidi"/>
                <w:i w:val="0"/>
                <w:iCs w:val="0"/>
                <w:noProof/>
                <w:kern w:val="2"/>
                <w:sz w:val="24"/>
                <w:szCs w:val="24"/>
                <w:lang w:eastAsia="fr-BE"/>
                <w14:ligatures w14:val="standardContextual"/>
              </w:rPr>
              <w:tab/>
            </w:r>
            <w:r w:rsidRPr="001E01AF">
              <w:rPr>
                <w:rStyle w:val="Lienhypertexte"/>
                <w:noProof/>
              </w:rPr>
              <w:t>Prix et coûts</w:t>
            </w:r>
            <w:r>
              <w:rPr>
                <w:noProof/>
                <w:webHidden/>
              </w:rPr>
              <w:tab/>
            </w:r>
            <w:r>
              <w:rPr>
                <w:noProof/>
                <w:webHidden/>
              </w:rPr>
              <w:fldChar w:fldCharType="begin"/>
            </w:r>
            <w:r>
              <w:rPr>
                <w:noProof/>
                <w:webHidden/>
              </w:rPr>
              <w:instrText xml:space="preserve"> PAGEREF _Toc215499005 \h </w:instrText>
            </w:r>
            <w:r>
              <w:rPr>
                <w:noProof/>
                <w:webHidden/>
              </w:rPr>
            </w:r>
            <w:r>
              <w:rPr>
                <w:noProof/>
                <w:webHidden/>
              </w:rPr>
              <w:fldChar w:fldCharType="separate"/>
            </w:r>
            <w:r>
              <w:rPr>
                <w:noProof/>
                <w:webHidden/>
              </w:rPr>
              <w:t>24</w:t>
            </w:r>
            <w:r>
              <w:rPr>
                <w:noProof/>
                <w:webHidden/>
              </w:rPr>
              <w:fldChar w:fldCharType="end"/>
            </w:r>
          </w:hyperlink>
        </w:p>
        <w:p w14:paraId="27368E17" w14:textId="306B1F7A"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9006" w:history="1">
            <w:r w:rsidRPr="001E01AF">
              <w:rPr>
                <w:rStyle w:val="Lienhypertexte"/>
                <w:noProof/>
              </w:rPr>
              <w:t>Article 36.</w:t>
            </w:r>
            <w:r>
              <w:rPr>
                <w:rFonts w:eastAsiaTheme="minorEastAsia" w:cstheme="minorBidi"/>
                <w:noProof/>
                <w:kern w:val="2"/>
                <w:sz w:val="24"/>
                <w:szCs w:val="24"/>
                <w:lang w:eastAsia="fr-BE"/>
                <w14:ligatures w14:val="standardContextual"/>
              </w:rPr>
              <w:tab/>
            </w:r>
            <w:r w:rsidRPr="001E01AF">
              <w:rPr>
                <w:rStyle w:val="Lienhypertexte"/>
                <w:noProof/>
              </w:rPr>
              <w:t>Prix et coûts</w:t>
            </w:r>
            <w:r>
              <w:rPr>
                <w:noProof/>
                <w:webHidden/>
              </w:rPr>
              <w:tab/>
            </w:r>
            <w:r>
              <w:rPr>
                <w:noProof/>
                <w:webHidden/>
              </w:rPr>
              <w:fldChar w:fldCharType="begin"/>
            </w:r>
            <w:r>
              <w:rPr>
                <w:noProof/>
                <w:webHidden/>
              </w:rPr>
              <w:instrText xml:space="preserve"> PAGEREF _Toc215499006 \h </w:instrText>
            </w:r>
            <w:r>
              <w:rPr>
                <w:noProof/>
                <w:webHidden/>
              </w:rPr>
            </w:r>
            <w:r>
              <w:rPr>
                <w:noProof/>
                <w:webHidden/>
              </w:rPr>
              <w:fldChar w:fldCharType="separate"/>
            </w:r>
            <w:r>
              <w:rPr>
                <w:noProof/>
                <w:webHidden/>
              </w:rPr>
              <w:t>24</w:t>
            </w:r>
            <w:r>
              <w:rPr>
                <w:noProof/>
                <w:webHidden/>
              </w:rPr>
              <w:fldChar w:fldCharType="end"/>
            </w:r>
          </w:hyperlink>
        </w:p>
        <w:p w14:paraId="72F5DA19" w14:textId="4DB4DB5A"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9007" w:history="1">
            <w:r w:rsidRPr="001E01AF">
              <w:rPr>
                <w:rStyle w:val="Lienhypertexte"/>
                <w:noProof/>
              </w:rPr>
              <w:t>Article 37.</w:t>
            </w:r>
            <w:r>
              <w:rPr>
                <w:rFonts w:eastAsiaTheme="minorEastAsia" w:cstheme="minorBidi"/>
                <w:noProof/>
                <w:kern w:val="2"/>
                <w:sz w:val="24"/>
                <w:szCs w:val="24"/>
                <w:lang w:eastAsia="fr-BE"/>
                <w14:ligatures w14:val="standardContextual"/>
              </w:rPr>
              <w:tab/>
            </w:r>
            <w:r w:rsidRPr="001E01AF">
              <w:rPr>
                <w:rStyle w:val="Lienhypertexte"/>
                <w:noProof/>
              </w:rPr>
              <w:t>Révision de prix pour la composante Services de Recherche et de Développement</w:t>
            </w:r>
            <w:r>
              <w:rPr>
                <w:noProof/>
                <w:webHidden/>
              </w:rPr>
              <w:tab/>
            </w:r>
            <w:r>
              <w:rPr>
                <w:noProof/>
                <w:webHidden/>
              </w:rPr>
              <w:fldChar w:fldCharType="begin"/>
            </w:r>
            <w:r>
              <w:rPr>
                <w:noProof/>
                <w:webHidden/>
              </w:rPr>
              <w:instrText xml:space="preserve"> PAGEREF _Toc215499007 \h </w:instrText>
            </w:r>
            <w:r>
              <w:rPr>
                <w:noProof/>
                <w:webHidden/>
              </w:rPr>
            </w:r>
            <w:r>
              <w:rPr>
                <w:noProof/>
                <w:webHidden/>
              </w:rPr>
              <w:fldChar w:fldCharType="separate"/>
            </w:r>
            <w:r>
              <w:rPr>
                <w:noProof/>
                <w:webHidden/>
              </w:rPr>
              <w:t>24</w:t>
            </w:r>
            <w:r>
              <w:rPr>
                <w:noProof/>
                <w:webHidden/>
              </w:rPr>
              <w:fldChar w:fldCharType="end"/>
            </w:r>
          </w:hyperlink>
        </w:p>
        <w:p w14:paraId="5CBCF7CD" w14:textId="4C954E61"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9008" w:history="1">
            <w:r w:rsidRPr="001E01AF">
              <w:rPr>
                <w:rStyle w:val="Lienhypertexte"/>
                <w:noProof/>
              </w:rPr>
              <w:t>Article 38.</w:t>
            </w:r>
            <w:r>
              <w:rPr>
                <w:rFonts w:eastAsiaTheme="minorEastAsia" w:cstheme="minorBidi"/>
                <w:noProof/>
                <w:kern w:val="2"/>
                <w:sz w:val="24"/>
                <w:szCs w:val="24"/>
                <w:lang w:eastAsia="fr-BE"/>
                <w14:ligatures w14:val="standardContextual"/>
              </w:rPr>
              <w:tab/>
            </w:r>
            <w:r w:rsidRPr="001E01AF">
              <w:rPr>
                <w:rStyle w:val="Lienhypertexte"/>
                <w:noProof/>
              </w:rPr>
              <w:t>Révision de prix pour la composante livraisons</w:t>
            </w:r>
            <w:r>
              <w:rPr>
                <w:noProof/>
                <w:webHidden/>
              </w:rPr>
              <w:tab/>
            </w:r>
            <w:r>
              <w:rPr>
                <w:noProof/>
                <w:webHidden/>
              </w:rPr>
              <w:fldChar w:fldCharType="begin"/>
            </w:r>
            <w:r>
              <w:rPr>
                <w:noProof/>
                <w:webHidden/>
              </w:rPr>
              <w:instrText xml:space="preserve"> PAGEREF _Toc215499008 \h </w:instrText>
            </w:r>
            <w:r>
              <w:rPr>
                <w:noProof/>
                <w:webHidden/>
              </w:rPr>
            </w:r>
            <w:r>
              <w:rPr>
                <w:noProof/>
                <w:webHidden/>
              </w:rPr>
              <w:fldChar w:fldCharType="separate"/>
            </w:r>
            <w:r>
              <w:rPr>
                <w:noProof/>
                <w:webHidden/>
              </w:rPr>
              <w:t>25</w:t>
            </w:r>
            <w:r>
              <w:rPr>
                <w:noProof/>
                <w:webHidden/>
              </w:rPr>
              <w:fldChar w:fldCharType="end"/>
            </w:r>
          </w:hyperlink>
        </w:p>
        <w:p w14:paraId="587B6417" w14:textId="10AABB48" w:rsidR="0044019D" w:rsidRDefault="0044019D">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9009" w:history="1">
            <w:r w:rsidRPr="001E01AF">
              <w:rPr>
                <w:rStyle w:val="Lienhypertexte"/>
                <w:noProof/>
              </w:rPr>
              <w:t>Section 3.</w:t>
            </w:r>
            <w:r>
              <w:rPr>
                <w:rFonts w:eastAsiaTheme="minorEastAsia" w:cstheme="minorBidi"/>
                <w:i w:val="0"/>
                <w:iCs w:val="0"/>
                <w:noProof/>
                <w:kern w:val="2"/>
                <w:sz w:val="24"/>
                <w:szCs w:val="24"/>
                <w:lang w:eastAsia="fr-BE"/>
                <w14:ligatures w14:val="standardContextual"/>
              </w:rPr>
              <w:tab/>
            </w:r>
            <w:r w:rsidRPr="001E01AF">
              <w:rPr>
                <w:rStyle w:val="Lienhypertexte"/>
                <w:noProof/>
              </w:rPr>
              <w:t>Vérification et paiements</w:t>
            </w:r>
            <w:r>
              <w:rPr>
                <w:noProof/>
                <w:webHidden/>
              </w:rPr>
              <w:tab/>
            </w:r>
            <w:r>
              <w:rPr>
                <w:noProof/>
                <w:webHidden/>
              </w:rPr>
              <w:fldChar w:fldCharType="begin"/>
            </w:r>
            <w:r>
              <w:rPr>
                <w:noProof/>
                <w:webHidden/>
              </w:rPr>
              <w:instrText xml:space="preserve"> PAGEREF _Toc215499009 \h </w:instrText>
            </w:r>
            <w:r>
              <w:rPr>
                <w:noProof/>
                <w:webHidden/>
              </w:rPr>
            </w:r>
            <w:r>
              <w:rPr>
                <w:noProof/>
                <w:webHidden/>
              </w:rPr>
              <w:fldChar w:fldCharType="separate"/>
            </w:r>
            <w:r>
              <w:rPr>
                <w:noProof/>
                <w:webHidden/>
              </w:rPr>
              <w:t>25</w:t>
            </w:r>
            <w:r>
              <w:rPr>
                <w:noProof/>
                <w:webHidden/>
              </w:rPr>
              <w:fldChar w:fldCharType="end"/>
            </w:r>
          </w:hyperlink>
        </w:p>
        <w:p w14:paraId="10BBA06C" w14:textId="14B0C78A"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9010" w:history="1">
            <w:r w:rsidRPr="001E01AF">
              <w:rPr>
                <w:rStyle w:val="Lienhypertexte"/>
                <w:noProof/>
              </w:rPr>
              <w:t>Article 39.</w:t>
            </w:r>
            <w:r>
              <w:rPr>
                <w:rFonts w:eastAsiaTheme="minorEastAsia" w:cstheme="minorBidi"/>
                <w:noProof/>
                <w:kern w:val="2"/>
                <w:sz w:val="24"/>
                <w:szCs w:val="24"/>
                <w:lang w:eastAsia="fr-BE"/>
                <w14:ligatures w14:val="standardContextual"/>
              </w:rPr>
              <w:tab/>
            </w:r>
            <w:r w:rsidRPr="001E01AF">
              <w:rPr>
                <w:rStyle w:val="Lienhypertexte"/>
                <w:noProof/>
              </w:rPr>
              <w:t>Paiement des Services de Recherche et de Développement</w:t>
            </w:r>
            <w:r>
              <w:rPr>
                <w:noProof/>
                <w:webHidden/>
              </w:rPr>
              <w:tab/>
            </w:r>
            <w:r>
              <w:rPr>
                <w:noProof/>
                <w:webHidden/>
              </w:rPr>
              <w:fldChar w:fldCharType="begin"/>
            </w:r>
            <w:r>
              <w:rPr>
                <w:noProof/>
                <w:webHidden/>
              </w:rPr>
              <w:instrText xml:space="preserve"> PAGEREF _Toc215499010 \h </w:instrText>
            </w:r>
            <w:r>
              <w:rPr>
                <w:noProof/>
                <w:webHidden/>
              </w:rPr>
            </w:r>
            <w:r>
              <w:rPr>
                <w:noProof/>
                <w:webHidden/>
              </w:rPr>
              <w:fldChar w:fldCharType="separate"/>
            </w:r>
            <w:r>
              <w:rPr>
                <w:noProof/>
                <w:webHidden/>
              </w:rPr>
              <w:t>25</w:t>
            </w:r>
            <w:r>
              <w:rPr>
                <w:noProof/>
                <w:webHidden/>
              </w:rPr>
              <w:fldChar w:fldCharType="end"/>
            </w:r>
          </w:hyperlink>
        </w:p>
        <w:p w14:paraId="09060F74" w14:textId="241CE876"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9011" w:history="1">
            <w:r w:rsidRPr="001E01AF">
              <w:rPr>
                <w:rStyle w:val="Lienhypertexte"/>
                <w:noProof/>
              </w:rPr>
              <w:t>Article 40.</w:t>
            </w:r>
            <w:r>
              <w:rPr>
                <w:rFonts w:eastAsiaTheme="minorEastAsia" w:cstheme="minorBidi"/>
                <w:noProof/>
                <w:kern w:val="2"/>
                <w:sz w:val="24"/>
                <w:szCs w:val="24"/>
                <w:lang w:eastAsia="fr-BE"/>
                <w14:ligatures w14:val="standardContextual"/>
              </w:rPr>
              <w:tab/>
            </w:r>
            <w:r w:rsidRPr="001E01AF">
              <w:rPr>
                <w:rStyle w:val="Lienhypertexte"/>
                <w:noProof/>
              </w:rPr>
              <w:t>Paiements des fournitures</w:t>
            </w:r>
            <w:r>
              <w:rPr>
                <w:noProof/>
                <w:webHidden/>
              </w:rPr>
              <w:tab/>
            </w:r>
            <w:r>
              <w:rPr>
                <w:noProof/>
                <w:webHidden/>
              </w:rPr>
              <w:fldChar w:fldCharType="begin"/>
            </w:r>
            <w:r>
              <w:rPr>
                <w:noProof/>
                <w:webHidden/>
              </w:rPr>
              <w:instrText xml:space="preserve"> PAGEREF _Toc215499011 \h </w:instrText>
            </w:r>
            <w:r>
              <w:rPr>
                <w:noProof/>
                <w:webHidden/>
              </w:rPr>
            </w:r>
            <w:r>
              <w:rPr>
                <w:noProof/>
                <w:webHidden/>
              </w:rPr>
              <w:fldChar w:fldCharType="separate"/>
            </w:r>
            <w:r>
              <w:rPr>
                <w:noProof/>
                <w:webHidden/>
              </w:rPr>
              <w:t>26</w:t>
            </w:r>
            <w:r>
              <w:rPr>
                <w:noProof/>
                <w:webHidden/>
              </w:rPr>
              <w:fldChar w:fldCharType="end"/>
            </w:r>
          </w:hyperlink>
        </w:p>
        <w:p w14:paraId="488B7BCE" w14:textId="449801E3" w:rsidR="0044019D" w:rsidRDefault="0044019D">
          <w:pPr>
            <w:pStyle w:val="TM1"/>
            <w:rPr>
              <w:rFonts w:eastAsiaTheme="minorEastAsia" w:cstheme="minorBidi"/>
              <w:b w:val="0"/>
              <w:bCs w:val="0"/>
              <w:noProof/>
              <w:kern w:val="2"/>
              <w:sz w:val="24"/>
              <w:szCs w:val="24"/>
              <w:lang w:eastAsia="fr-BE"/>
              <w14:ligatures w14:val="standardContextual"/>
            </w:rPr>
          </w:pPr>
          <w:hyperlink w:anchor="_Toc215499012" w:history="1">
            <w:r w:rsidRPr="001E01AF">
              <w:rPr>
                <w:rStyle w:val="Lienhypertexte"/>
                <w:noProof/>
              </w:rPr>
              <w:t>Hoofdstuk V.</w:t>
            </w:r>
            <w:r>
              <w:rPr>
                <w:rFonts w:eastAsiaTheme="minorEastAsia" w:cstheme="minorBidi"/>
                <w:b w:val="0"/>
                <w:bCs w:val="0"/>
                <w:noProof/>
                <w:kern w:val="2"/>
                <w:sz w:val="24"/>
                <w:szCs w:val="24"/>
                <w:lang w:eastAsia="fr-BE"/>
                <w14:ligatures w14:val="standardContextual"/>
              </w:rPr>
              <w:tab/>
            </w:r>
            <w:r w:rsidRPr="001E01AF">
              <w:rPr>
                <w:rStyle w:val="Lienhypertexte"/>
                <w:noProof/>
              </w:rPr>
              <w:t>Signature</w:t>
            </w:r>
            <w:r>
              <w:rPr>
                <w:noProof/>
                <w:webHidden/>
              </w:rPr>
              <w:tab/>
            </w:r>
            <w:r>
              <w:rPr>
                <w:noProof/>
                <w:webHidden/>
              </w:rPr>
              <w:fldChar w:fldCharType="begin"/>
            </w:r>
            <w:r>
              <w:rPr>
                <w:noProof/>
                <w:webHidden/>
              </w:rPr>
              <w:instrText xml:space="preserve"> PAGEREF _Toc215499012 \h </w:instrText>
            </w:r>
            <w:r>
              <w:rPr>
                <w:noProof/>
                <w:webHidden/>
              </w:rPr>
            </w:r>
            <w:r>
              <w:rPr>
                <w:noProof/>
                <w:webHidden/>
              </w:rPr>
              <w:fldChar w:fldCharType="separate"/>
            </w:r>
            <w:r>
              <w:rPr>
                <w:noProof/>
                <w:webHidden/>
              </w:rPr>
              <w:t>27</w:t>
            </w:r>
            <w:r>
              <w:rPr>
                <w:noProof/>
                <w:webHidden/>
              </w:rPr>
              <w:fldChar w:fldCharType="end"/>
            </w:r>
          </w:hyperlink>
        </w:p>
        <w:p w14:paraId="2A195D30" w14:textId="42E1143E" w:rsidR="0044019D" w:rsidRDefault="0044019D">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9013" w:history="1">
            <w:r w:rsidRPr="001E01AF">
              <w:rPr>
                <w:rStyle w:val="Lienhypertexte"/>
                <w:noProof/>
              </w:rPr>
              <w:t>Article 41.</w:t>
            </w:r>
            <w:r>
              <w:rPr>
                <w:rFonts w:eastAsiaTheme="minorEastAsia" w:cstheme="minorBidi"/>
                <w:noProof/>
                <w:kern w:val="2"/>
                <w:sz w:val="24"/>
                <w:szCs w:val="24"/>
                <w:lang w:eastAsia="fr-BE"/>
                <w14:ligatures w14:val="standardContextual"/>
              </w:rPr>
              <w:tab/>
            </w:r>
            <w:r w:rsidRPr="001E01AF">
              <w:rPr>
                <w:rStyle w:val="Lienhypertexte"/>
                <w:noProof/>
              </w:rPr>
              <w:t>Page de signature</w:t>
            </w:r>
            <w:r>
              <w:rPr>
                <w:noProof/>
                <w:webHidden/>
              </w:rPr>
              <w:tab/>
            </w:r>
            <w:r>
              <w:rPr>
                <w:noProof/>
                <w:webHidden/>
              </w:rPr>
              <w:fldChar w:fldCharType="begin"/>
            </w:r>
            <w:r>
              <w:rPr>
                <w:noProof/>
                <w:webHidden/>
              </w:rPr>
              <w:instrText xml:space="preserve"> PAGEREF _Toc215499013 \h </w:instrText>
            </w:r>
            <w:r>
              <w:rPr>
                <w:noProof/>
                <w:webHidden/>
              </w:rPr>
            </w:r>
            <w:r>
              <w:rPr>
                <w:noProof/>
                <w:webHidden/>
              </w:rPr>
              <w:fldChar w:fldCharType="separate"/>
            </w:r>
            <w:r>
              <w:rPr>
                <w:noProof/>
                <w:webHidden/>
              </w:rPr>
              <w:t>27</w:t>
            </w:r>
            <w:r>
              <w:rPr>
                <w:noProof/>
                <w:webHidden/>
              </w:rPr>
              <w:fldChar w:fldCharType="end"/>
            </w:r>
          </w:hyperlink>
        </w:p>
        <w:p w14:paraId="2A18BBA0" w14:textId="541A7F0E" w:rsidR="0044019D" w:rsidRDefault="0044019D">
          <w:pPr>
            <w:pStyle w:val="TM1"/>
            <w:rPr>
              <w:rFonts w:eastAsiaTheme="minorEastAsia" w:cstheme="minorBidi"/>
              <w:b w:val="0"/>
              <w:bCs w:val="0"/>
              <w:noProof/>
              <w:kern w:val="2"/>
              <w:sz w:val="24"/>
              <w:szCs w:val="24"/>
              <w:lang w:eastAsia="fr-BE"/>
              <w14:ligatures w14:val="standardContextual"/>
            </w:rPr>
          </w:pPr>
          <w:hyperlink w:anchor="_Toc215499014" w:history="1">
            <w:r w:rsidRPr="001E01AF">
              <w:rPr>
                <w:rStyle w:val="Lienhypertexte"/>
                <w:noProof/>
              </w:rPr>
              <w:t>Annexe 1. - Définitions</w:t>
            </w:r>
            <w:r>
              <w:rPr>
                <w:noProof/>
                <w:webHidden/>
              </w:rPr>
              <w:tab/>
            </w:r>
            <w:r>
              <w:rPr>
                <w:noProof/>
                <w:webHidden/>
              </w:rPr>
              <w:fldChar w:fldCharType="begin"/>
            </w:r>
            <w:r>
              <w:rPr>
                <w:noProof/>
                <w:webHidden/>
              </w:rPr>
              <w:instrText xml:space="preserve"> PAGEREF _Toc215499014 \h </w:instrText>
            </w:r>
            <w:r>
              <w:rPr>
                <w:noProof/>
                <w:webHidden/>
              </w:rPr>
            </w:r>
            <w:r>
              <w:rPr>
                <w:noProof/>
                <w:webHidden/>
              </w:rPr>
              <w:fldChar w:fldCharType="separate"/>
            </w:r>
            <w:r>
              <w:rPr>
                <w:noProof/>
                <w:webHidden/>
              </w:rPr>
              <w:t>28</w:t>
            </w:r>
            <w:r>
              <w:rPr>
                <w:noProof/>
                <w:webHidden/>
              </w:rPr>
              <w:fldChar w:fldCharType="end"/>
            </w:r>
          </w:hyperlink>
        </w:p>
        <w:p w14:paraId="11E2C404" w14:textId="00B09B8F" w:rsidR="0044019D" w:rsidRDefault="0044019D">
          <w:pPr>
            <w:pStyle w:val="TM1"/>
            <w:rPr>
              <w:rFonts w:eastAsiaTheme="minorEastAsia" w:cstheme="minorBidi"/>
              <w:b w:val="0"/>
              <w:bCs w:val="0"/>
              <w:noProof/>
              <w:kern w:val="2"/>
              <w:sz w:val="24"/>
              <w:szCs w:val="24"/>
              <w:lang w:eastAsia="fr-BE"/>
              <w14:ligatures w14:val="standardContextual"/>
            </w:rPr>
          </w:pPr>
          <w:hyperlink w:anchor="_Toc215499015" w:history="1">
            <w:r w:rsidRPr="001E01AF">
              <w:rPr>
                <w:rStyle w:val="Lienhypertexte"/>
                <w:noProof/>
              </w:rPr>
              <w:t>Annexe 2. - Services de Recherche et de Développement - Livrables et Jalons</w:t>
            </w:r>
            <w:r>
              <w:rPr>
                <w:noProof/>
                <w:webHidden/>
              </w:rPr>
              <w:tab/>
            </w:r>
            <w:r>
              <w:rPr>
                <w:noProof/>
                <w:webHidden/>
              </w:rPr>
              <w:fldChar w:fldCharType="begin"/>
            </w:r>
            <w:r>
              <w:rPr>
                <w:noProof/>
                <w:webHidden/>
              </w:rPr>
              <w:instrText xml:space="preserve"> PAGEREF _Toc215499015 \h </w:instrText>
            </w:r>
            <w:r>
              <w:rPr>
                <w:noProof/>
                <w:webHidden/>
              </w:rPr>
            </w:r>
            <w:r>
              <w:rPr>
                <w:noProof/>
                <w:webHidden/>
              </w:rPr>
              <w:fldChar w:fldCharType="separate"/>
            </w:r>
            <w:r>
              <w:rPr>
                <w:noProof/>
                <w:webHidden/>
              </w:rPr>
              <w:t>31</w:t>
            </w:r>
            <w:r>
              <w:rPr>
                <w:noProof/>
                <w:webHidden/>
              </w:rPr>
              <w:fldChar w:fldCharType="end"/>
            </w:r>
          </w:hyperlink>
        </w:p>
        <w:p w14:paraId="43868D98" w14:textId="194B39BB" w:rsidR="0044019D" w:rsidRDefault="0044019D">
          <w:pPr>
            <w:pStyle w:val="TM1"/>
            <w:rPr>
              <w:rFonts w:eastAsiaTheme="minorEastAsia" w:cstheme="minorBidi"/>
              <w:b w:val="0"/>
              <w:bCs w:val="0"/>
              <w:noProof/>
              <w:kern w:val="2"/>
              <w:sz w:val="24"/>
              <w:szCs w:val="24"/>
              <w:lang w:eastAsia="fr-BE"/>
              <w14:ligatures w14:val="standardContextual"/>
            </w:rPr>
          </w:pPr>
          <w:hyperlink w:anchor="_Toc215499016" w:history="1">
            <w:r w:rsidRPr="001E01AF">
              <w:rPr>
                <w:rStyle w:val="Lienhypertexte"/>
                <w:noProof/>
              </w:rPr>
              <w:t>Annexe 3. - Guide d'attribution</w:t>
            </w:r>
            <w:r>
              <w:rPr>
                <w:noProof/>
                <w:webHidden/>
              </w:rPr>
              <w:tab/>
            </w:r>
            <w:r>
              <w:rPr>
                <w:noProof/>
                <w:webHidden/>
              </w:rPr>
              <w:fldChar w:fldCharType="begin"/>
            </w:r>
            <w:r>
              <w:rPr>
                <w:noProof/>
                <w:webHidden/>
              </w:rPr>
              <w:instrText xml:space="preserve"> PAGEREF _Toc215499016 \h </w:instrText>
            </w:r>
            <w:r>
              <w:rPr>
                <w:noProof/>
                <w:webHidden/>
              </w:rPr>
            </w:r>
            <w:r>
              <w:rPr>
                <w:noProof/>
                <w:webHidden/>
              </w:rPr>
              <w:fldChar w:fldCharType="separate"/>
            </w:r>
            <w:r>
              <w:rPr>
                <w:noProof/>
                <w:webHidden/>
              </w:rPr>
              <w:t>32</w:t>
            </w:r>
            <w:r>
              <w:rPr>
                <w:noProof/>
                <w:webHidden/>
              </w:rPr>
              <w:fldChar w:fldCharType="end"/>
            </w:r>
          </w:hyperlink>
        </w:p>
        <w:p w14:paraId="1BF2C647" w14:textId="7266DE06" w:rsidR="0044019D" w:rsidRDefault="0044019D">
          <w:pPr>
            <w:pStyle w:val="TM1"/>
            <w:rPr>
              <w:rFonts w:eastAsiaTheme="minorEastAsia" w:cstheme="minorBidi"/>
              <w:b w:val="0"/>
              <w:bCs w:val="0"/>
              <w:noProof/>
              <w:kern w:val="2"/>
              <w:sz w:val="24"/>
              <w:szCs w:val="24"/>
              <w:lang w:eastAsia="fr-BE"/>
              <w14:ligatures w14:val="standardContextual"/>
            </w:rPr>
          </w:pPr>
          <w:hyperlink w:anchor="_Toc215499017" w:history="1">
            <w:r w:rsidRPr="001E01AF">
              <w:rPr>
                <w:rStyle w:val="Lienhypertexte"/>
                <w:noProof/>
              </w:rPr>
              <w:t>Annexe 4. - Offre</w:t>
            </w:r>
            <w:r>
              <w:rPr>
                <w:noProof/>
                <w:webHidden/>
              </w:rPr>
              <w:tab/>
            </w:r>
            <w:r>
              <w:rPr>
                <w:noProof/>
                <w:webHidden/>
              </w:rPr>
              <w:fldChar w:fldCharType="begin"/>
            </w:r>
            <w:r>
              <w:rPr>
                <w:noProof/>
                <w:webHidden/>
              </w:rPr>
              <w:instrText xml:space="preserve"> PAGEREF _Toc215499017 \h </w:instrText>
            </w:r>
            <w:r>
              <w:rPr>
                <w:noProof/>
                <w:webHidden/>
              </w:rPr>
            </w:r>
            <w:r>
              <w:rPr>
                <w:noProof/>
                <w:webHidden/>
              </w:rPr>
              <w:fldChar w:fldCharType="separate"/>
            </w:r>
            <w:r>
              <w:rPr>
                <w:noProof/>
                <w:webHidden/>
              </w:rPr>
              <w:t>33</w:t>
            </w:r>
            <w:r>
              <w:rPr>
                <w:noProof/>
                <w:webHidden/>
              </w:rPr>
              <w:fldChar w:fldCharType="end"/>
            </w:r>
          </w:hyperlink>
        </w:p>
        <w:p w14:paraId="4BAD6543" w14:textId="627585B2" w:rsidR="0044019D" w:rsidRDefault="0044019D">
          <w:pPr>
            <w:pStyle w:val="TM1"/>
            <w:rPr>
              <w:rFonts w:eastAsiaTheme="minorEastAsia" w:cstheme="minorBidi"/>
              <w:b w:val="0"/>
              <w:bCs w:val="0"/>
              <w:noProof/>
              <w:kern w:val="2"/>
              <w:sz w:val="24"/>
              <w:szCs w:val="24"/>
              <w:lang w:eastAsia="fr-BE"/>
              <w14:ligatures w14:val="standardContextual"/>
            </w:rPr>
          </w:pPr>
          <w:hyperlink w:anchor="_Toc215499018" w:history="1">
            <w:r w:rsidRPr="001E01AF">
              <w:rPr>
                <w:rStyle w:val="Lienhypertexte"/>
                <w:noProof/>
              </w:rPr>
              <w:t>Annexe 5. - Document descriptif</w:t>
            </w:r>
            <w:r>
              <w:rPr>
                <w:noProof/>
                <w:webHidden/>
              </w:rPr>
              <w:tab/>
            </w:r>
            <w:r>
              <w:rPr>
                <w:noProof/>
                <w:webHidden/>
              </w:rPr>
              <w:fldChar w:fldCharType="begin"/>
            </w:r>
            <w:r>
              <w:rPr>
                <w:noProof/>
                <w:webHidden/>
              </w:rPr>
              <w:instrText xml:space="preserve"> PAGEREF _Toc215499018 \h </w:instrText>
            </w:r>
            <w:r>
              <w:rPr>
                <w:noProof/>
                <w:webHidden/>
              </w:rPr>
            </w:r>
            <w:r>
              <w:rPr>
                <w:noProof/>
                <w:webHidden/>
              </w:rPr>
              <w:fldChar w:fldCharType="separate"/>
            </w:r>
            <w:r>
              <w:rPr>
                <w:noProof/>
                <w:webHidden/>
              </w:rPr>
              <w:t>34</w:t>
            </w:r>
            <w:r>
              <w:rPr>
                <w:noProof/>
                <w:webHidden/>
              </w:rPr>
              <w:fldChar w:fldCharType="end"/>
            </w:r>
          </w:hyperlink>
        </w:p>
        <w:p w14:paraId="5612A284" w14:textId="26CA1404" w:rsidR="0044019D" w:rsidRDefault="0044019D">
          <w:pPr>
            <w:pStyle w:val="TM1"/>
            <w:rPr>
              <w:rFonts w:eastAsiaTheme="minorEastAsia" w:cstheme="minorBidi"/>
              <w:b w:val="0"/>
              <w:bCs w:val="0"/>
              <w:noProof/>
              <w:kern w:val="2"/>
              <w:sz w:val="24"/>
              <w:szCs w:val="24"/>
              <w:lang w:eastAsia="fr-BE"/>
              <w14:ligatures w14:val="standardContextual"/>
            </w:rPr>
          </w:pPr>
          <w:hyperlink w:anchor="_Toc215499019" w:history="1">
            <w:r w:rsidRPr="001E01AF">
              <w:rPr>
                <w:rStyle w:val="Lienhypertexte"/>
                <w:noProof/>
              </w:rPr>
              <w:t>Annexe 6. - Guide de sélection</w:t>
            </w:r>
            <w:r>
              <w:rPr>
                <w:noProof/>
                <w:webHidden/>
              </w:rPr>
              <w:tab/>
            </w:r>
            <w:r>
              <w:rPr>
                <w:noProof/>
                <w:webHidden/>
              </w:rPr>
              <w:fldChar w:fldCharType="begin"/>
            </w:r>
            <w:r>
              <w:rPr>
                <w:noProof/>
                <w:webHidden/>
              </w:rPr>
              <w:instrText xml:space="preserve"> PAGEREF _Toc215499019 \h </w:instrText>
            </w:r>
            <w:r>
              <w:rPr>
                <w:noProof/>
                <w:webHidden/>
              </w:rPr>
            </w:r>
            <w:r>
              <w:rPr>
                <w:noProof/>
                <w:webHidden/>
              </w:rPr>
              <w:fldChar w:fldCharType="separate"/>
            </w:r>
            <w:r>
              <w:rPr>
                <w:noProof/>
                <w:webHidden/>
              </w:rPr>
              <w:t>35</w:t>
            </w:r>
            <w:r>
              <w:rPr>
                <w:noProof/>
                <w:webHidden/>
              </w:rPr>
              <w:fldChar w:fldCharType="end"/>
            </w:r>
          </w:hyperlink>
        </w:p>
        <w:p w14:paraId="5F557FEB" w14:textId="23F1805D" w:rsidR="005D6111" w:rsidRPr="00E714F5" w:rsidRDefault="005D6111" w:rsidP="005D6111">
          <w:r>
            <w:rPr>
              <w:b/>
              <w:bCs/>
            </w:rPr>
            <w:fldChar w:fldCharType="end"/>
          </w:r>
        </w:p>
      </w:sdtContent>
    </w:sdt>
    <w:p w14:paraId="56F4098A" w14:textId="77777777" w:rsidR="005D6111" w:rsidRDefault="005D6111">
      <w:pPr>
        <w:rPr>
          <w:rFonts w:ascii="Calibri" w:eastAsiaTheme="majorEastAsia" w:hAnsi="Calibri" w:cs="Calibri"/>
          <w:b/>
          <w:bCs/>
          <w:color w:val="000000" w:themeColor="text1"/>
          <w:u w:val="single"/>
        </w:rPr>
      </w:pPr>
      <w:r>
        <w:br w:type="page"/>
      </w:r>
    </w:p>
    <w:p w14:paraId="1864231B" w14:textId="40B73BAA" w:rsidR="008229F4" w:rsidRDefault="008229F4" w:rsidP="008229F4">
      <w:pPr>
        <w:pStyle w:val="Titre1"/>
        <w:numPr>
          <w:ilvl w:val="0"/>
          <w:numId w:val="14"/>
        </w:numPr>
      </w:pPr>
      <w:bookmarkStart w:id="1" w:name="_Toc215498962"/>
      <w:r>
        <w:lastRenderedPageBreak/>
        <w:t>Dispositions générales</w:t>
      </w:r>
      <w:bookmarkEnd w:id="1"/>
    </w:p>
    <w:p w14:paraId="1B664AD3" w14:textId="47A2B674" w:rsidR="008229F4" w:rsidRDefault="008229F4" w:rsidP="008229F4">
      <w:pPr>
        <w:pStyle w:val="Titre3"/>
      </w:pPr>
      <w:bookmarkStart w:id="2" w:name="_Toc215498963"/>
      <w:r>
        <w:t>Définitions</w:t>
      </w:r>
      <w:bookmarkEnd w:id="2"/>
    </w:p>
    <w:p w14:paraId="59D4021A" w14:textId="2EFAD2E6" w:rsidR="00F26BE8" w:rsidRPr="00F26BE8" w:rsidRDefault="00F26BE8" w:rsidP="00F26BE8">
      <w:pPr>
        <w:pStyle w:val="Listenumros"/>
        <w:spacing w:after="160"/>
        <w:ind w:left="1701"/>
        <w:contextualSpacing w:val="0"/>
        <w:jc w:val="both"/>
        <w:rPr>
          <w:color w:val="FF0000"/>
        </w:rPr>
      </w:pPr>
      <w:r>
        <w:rPr>
          <w:color w:val="FF0000"/>
        </w:rPr>
        <w:t>Une liste de définitions est reprise à l'Annexe 1 du présent Contrat. Ces définitions peuvent être complétées en fonction de certaines circonstances concrètes. Il est important qu'elles soient alignées sur les circonstances concrètes.</w:t>
      </w:r>
    </w:p>
    <w:p w14:paraId="26EA7EBA" w14:textId="0C62A393" w:rsidR="00F26BE8" w:rsidRDefault="00FA1A72" w:rsidP="00F26BE8">
      <w:pPr>
        <w:pStyle w:val="Listenumros"/>
        <w:numPr>
          <w:ilvl w:val="3"/>
          <w:numId w:val="15"/>
        </w:numPr>
        <w:spacing w:after="160"/>
        <w:contextualSpacing w:val="0"/>
        <w:jc w:val="both"/>
      </w:pPr>
      <w:r>
        <w:t xml:space="preserve">Les notions reprises dans le présent Contrat et qui commencent par une majuscule figurent à </w:t>
      </w:r>
      <w:r w:rsidR="00872023" w:rsidRPr="00872023">
        <w:rPr>
          <w:b/>
          <w:bCs/>
        </w:rPr>
        <w:fldChar w:fldCharType="begin"/>
      </w:r>
      <w:r w:rsidR="00872023" w:rsidRPr="00872023">
        <w:rPr>
          <w:b/>
          <w:bCs/>
        </w:rPr>
        <w:instrText xml:space="preserve"> REF _Ref153360125 \h  \* MERGEFORMAT </w:instrText>
      </w:r>
      <w:r w:rsidR="00872023" w:rsidRPr="00872023">
        <w:rPr>
          <w:b/>
          <w:bCs/>
        </w:rPr>
      </w:r>
      <w:r w:rsidR="00872023" w:rsidRPr="00872023">
        <w:rPr>
          <w:b/>
          <w:bCs/>
        </w:rPr>
        <w:fldChar w:fldCharType="separate"/>
      </w:r>
      <w:r>
        <w:rPr>
          <w:b/>
        </w:rPr>
        <w:t>l'Annexe 1. - Définitions</w:t>
      </w:r>
      <w:r w:rsidR="00872023" w:rsidRPr="00872023">
        <w:rPr>
          <w:b/>
          <w:bCs/>
        </w:rPr>
        <w:fldChar w:fldCharType="end"/>
      </w:r>
      <w:r>
        <w:t xml:space="preserve"> du présent Contrat et ont la signification qui y est donnée.</w:t>
      </w:r>
    </w:p>
    <w:p w14:paraId="5C62F32F" w14:textId="5D4C247A" w:rsidR="00F070FF" w:rsidRDefault="00F070FF" w:rsidP="00F070FF">
      <w:pPr>
        <w:pStyle w:val="Titre3"/>
      </w:pPr>
      <w:bookmarkStart w:id="3" w:name="_Toc215498964"/>
      <w:r>
        <w:t>Objet du Contrat</w:t>
      </w:r>
      <w:bookmarkEnd w:id="3"/>
    </w:p>
    <w:p w14:paraId="036BA40C" w14:textId="1B8B6AA1" w:rsidR="0078144B" w:rsidRDefault="0174A9FE" w:rsidP="0174A9FE">
      <w:pPr>
        <w:pStyle w:val="Listenumros"/>
        <w:numPr>
          <w:ilvl w:val="3"/>
          <w:numId w:val="15"/>
        </w:numPr>
        <w:spacing w:after="160"/>
        <w:jc w:val="both"/>
      </w:pPr>
      <w:r>
        <w:t xml:space="preserve">Le présent Contrat définit les conditions générales en vertu desquelles le Marché doit être réalisé, comme décrit dans le Guide d'attribution.  </w:t>
      </w:r>
    </w:p>
    <w:p w14:paraId="1DE6383A" w14:textId="3509108E" w:rsidR="006D3C53" w:rsidRDefault="006D3C53" w:rsidP="006D3C53">
      <w:pPr>
        <w:pStyle w:val="Listenumros"/>
        <w:numPr>
          <w:ilvl w:val="3"/>
          <w:numId w:val="15"/>
        </w:numPr>
        <w:spacing w:after="160"/>
        <w:contextualSpacing w:val="0"/>
        <w:jc w:val="both"/>
      </w:pPr>
      <w:r>
        <w:t>Pour autant que le Contrat n'y déroge pas valablement, le Marché est soumis à toute la Réglementation applicable.</w:t>
      </w:r>
    </w:p>
    <w:p w14:paraId="01907C16" w14:textId="155EDD0E" w:rsidR="00F26BE8" w:rsidRDefault="006D3C53" w:rsidP="00F26BE8">
      <w:pPr>
        <w:pStyle w:val="Listenumros"/>
        <w:numPr>
          <w:ilvl w:val="3"/>
          <w:numId w:val="15"/>
        </w:numPr>
        <w:spacing w:after="160"/>
        <w:contextualSpacing w:val="0"/>
        <w:jc w:val="both"/>
      </w:pPr>
      <w:r>
        <w:t>Le Marché comprend toutes les prestations nécessaires pour exécuter le Marché correctement et conformément aux dispositions du Contrat, même si elles ne sont pas expressément décrites dans le Contrat et ses Annexes.</w:t>
      </w:r>
    </w:p>
    <w:p w14:paraId="6E010870" w14:textId="4ACEA30A" w:rsidR="006D3C53" w:rsidRPr="00CE6081" w:rsidRDefault="006D3C53" w:rsidP="006D3C53">
      <w:pPr>
        <w:pStyle w:val="Titre3"/>
        <w:rPr>
          <w:color w:val="auto"/>
        </w:rPr>
      </w:pPr>
      <w:bookmarkStart w:id="4" w:name="_Toc215498965"/>
      <w:r>
        <w:rPr>
          <w:color w:val="auto"/>
        </w:rPr>
        <w:t>AR Exécution</w:t>
      </w:r>
      <w:bookmarkEnd w:id="4"/>
    </w:p>
    <w:p w14:paraId="69E73806" w14:textId="3369E24A" w:rsidR="00F26BE8" w:rsidRPr="00F26BE8" w:rsidRDefault="00F26BE8" w:rsidP="00F26BE8">
      <w:pPr>
        <w:pStyle w:val="Listenumros"/>
        <w:spacing w:after="160"/>
        <w:ind w:left="1701"/>
        <w:contextualSpacing w:val="0"/>
        <w:jc w:val="both"/>
        <w:rPr>
          <w:color w:val="FF0000"/>
        </w:rPr>
      </w:pPr>
      <w:r>
        <w:rPr>
          <w:color w:val="FF0000"/>
        </w:rPr>
        <w:t>Des dérogations (supplémentaires) à l'AR Exécution peuvent être inscrites sous cet Article. Il est souligné que dans certains cas, la dérogation doit également être motivée. Une motivation possible pouvant être reprise à ce niveau est que ces dispositions ont fait partie du dialogue compétitif et sont nécessaires à l'exécution du Marché. Ces motifs doivent toutefois être développés à la lumière de circonstances concrètes qui se présentent.</w:t>
      </w:r>
    </w:p>
    <w:p w14:paraId="443A8183" w14:textId="77777777" w:rsidR="00CE6081" w:rsidRDefault="00CE6081" w:rsidP="006D3C53">
      <w:pPr>
        <w:pStyle w:val="Listenumros"/>
        <w:numPr>
          <w:ilvl w:val="3"/>
          <w:numId w:val="15"/>
        </w:numPr>
        <w:spacing w:after="160"/>
        <w:contextualSpacing w:val="0"/>
        <w:jc w:val="both"/>
      </w:pPr>
      <w:r>
        <w:t xml:space="preserve">L'AR Exécution s'applique au présent Contrat, pour autant que l'on n'y déroge pas. </w:t>
      </w:r>
    </w:p>
    <w:p w14:paraId="1AD81137" w14:textId="41EDE3F7" w:rsidR="006D3C53" w:rsidRPr="0046402B" w:rsidRDefault="00CE6081" w:rsidP="006D3C53">
      <w:pPr>
        <w:pStyle w:val="Listenumros"/>
        <w:numPr>
          <w:ilvl w:val="3"/>
          <w:numId w:val="15"/>
        </w:numPr>
        <w:spacing w:after="160"/>
        <w:contextualSpacing w:val="0"/>
        <w:jc w:val="both"/>
        <w:rPr>
          <w:color w:val="70AD47" w:themeColor="accent6"/>
        </w:rPr>
      </w:pPr>
      <w:r>
        <w:rPr>
          <w:color w:val="70AD47" w:themeColor="accent6"/>
        </w:rPr>
        <w:t>Il est particulièrement précisé qu'il est dérogé aux dispositions suivantes de l'AR Exécution :</w:t>
      </w:r>
    </w:p>
    <w:p w14:paraId="0C1DCAA8" w14:textId="73AC5C1A" w:rsidR="0046402B" w:rsidRPr="0046402B" w:rsidRDefault="0046402B" w:rsidP="0046402B">
      <w:pPr>
        <w:pStyle w:val="Listenumros"/>
        <w:spacing w:after="160"/>
        <w:ind w:left="2835"/>
        <w:contextualSpacing w:val="0"/>
        <w:jc w:val="both"/>
        <w:rPr>
          <w:color w:val="FF0000"/>
        </w:rPr>
      </w:pPr>
      <w:r>
        <w:rPr>
          <w:color w:val="FF0000"/>
        </w:rPr>
        <w:t>La disposition ci-dessous doit être insérée lorsqu'il n'est pas fait usage d'une clause de révision des prix en ce qui concerne les Services de Recherche et de Développement, pour autant que ces services portent sur un montant supérieur à 120.000 EUR et si le délai d'exécution couvre moins de cent vingt jours ouvrables ou cent quatre-vingts jours calendrier. Conformément à l'article</w:t>
      </w:r>
      <w:r w:rsidR="00DF233B">
        <w:rPr>
          <w:color w:val="FF0000"/>
        </w:rPr>
        <w:t> </w:t>
      </w:r>
      <w:r>
        <w:rPr>
          <w:color w:val="FF0000"/>
        </w:rPr>
        <w:t>9, §4, alinéa 1er de l'AR Exécution, une telle dérogation doit être motivée. Des motifs supplémentaires doivent être ajoutés.</w:t>
      </w:r>
    </w:p>
    <w:p w14:paraId="552C37B3" w14:textId="7C8B6E92" w:rsidR="006029F2" w:rsidRPr="0046402B" w:rsidRDefault="0046402B" w:rsidP="00CE6081">
      <w:pPr>
        <w:pStyle w:val="Listenumros"/>
        <w:numPr>
          <w:ilvl w:val="4"/>
          <w:numId w:val="15"/>
        </w:numPr>
        <w:spacing w:after="160"/>
        <w:contextualSpacing w:val="0"/>
        <w:jc w:val="both"/>
        <w:rPr>
          <w:color w:val="70AD47" w:themeColor="accent6"/>
        </w:rPr>
      </w:pPr>
      <w:r>
        <w:rPr>
          <w:color w:val="70AD47" w:themeColor="accent6"/>
        </w:rPr>
        <w:t>Article 38/7 AR Exécution : aucune révision de prix ne s'applique au présent Marché en ce qui concerne les Services de Recherche et de Développement, et ce pour les raisons suivantes :</w:t>
      </w:r>
    </w:p>
    <w:p w14:paraId="0DEE7A98" w14:textId="0600BA80" w:rsidR="00F83DB7" w:rsidRDefault="00F83DB7" w:rsidP="0046402B">
      <w:pPr>
        <w:pStyle w:val="Listenumros"/>
        <w:numPr>
          <w:ilvl w:val="5"/>
          <w:numId w:val="15"/>
        </w:numPr>
        <w:spacing w:after="160"/>
        <w:contextualSpacing w:val="0"/>
        <w:jc w:val="both"/>
        <w:rPr>
          <w:color w:val="70AD47" w:themeColor="accent6"/>
        </w:rPr>
      </w:pPr>
      <w:r>
        <w:rPr>
          <w:color w:val="70AD47" w:themeColor="accent6"/>
        </w:rPr>
        <w:lastRenderedPageBreak/>
        <w:t>Cette disposition a fait l'objet du dialogue mené avec l'Adjudicataire avant la conclusion du Contrat et est nécessaire à l'exécution du Marché ;</w:t>
      </w:r>
    </w:p>
    <w:p w14:paraId="0D9ACF67" w14:textId="67A9E8BD" w:rsidR="00091BEB" w:rsidRDefault="0046402B" w:rsidP="00091BEB">
      <w:pPr>
        <w:pStyle w:val="Listenumros"/>
        <w:numPr>
          <w:ilvl w:val="5"/>
          <w:numId w:val="15"/>
        </w:numPr>
        <w:spacing w:after="160"/>
        <w:contextualSpacing w:val="0"/>
        <w:jc w:val="both"/>
        <w:rPr>
          <w:color w:val="70AD47" w:themeColor="accent6"/>
        </w:rPr>
      </w:pPr>
      <w:r>
        <w:rPr>
          <w:color w:val="70AD47" w:themeColor="accent6"/>
        </w:rPr>
        <w:t>[</w:t>
      </w:r>
      <w:r>
        <w:rPr>
          <w:color w:val="70AD47" w:themeColor="accent6"/>
          <w:highlight w:val="lightGray"/>
        </w:rPr>
        <w:t>indiquer des motifs spécifiques supplémentaires</w:t>
      </w:r>
      <w:r>
        <w:rPr>
          <w:color w:val="70AD47" w:themeColor="accent6"/>
        </w:rPr>
        <w:t>]</w:t>
      </w:r>
    </w:p>
    <w:p w14:paraId="6D4B3DDF" w14:textId="045140EB" w:rsidR="00091BEB" w:rsidRPr="00091BEB" w:rsidRDefault="00091BEB" w:rsidP="00091BEB">
      <w:pPr>
        <w:pStyle w:val="Listenumros"/>
        <w:spacing w:after="160"/>
        <w:ind w:left="2835"/>
        <w:contextualSpacing w:val="0"/>
        <w:jc w:val="both"/>
        <w:rPr>
          <w:color w:val="FF0000"/>
        </w:rPr>
      </w:pPr>
      <w:r>
        <w:rPr>
          <w:color w:val="FF0000"/>
        </w:rPr>
        <w:t>La disposition suivante doit être ajoutée si des livraisons font l'objet du marché. Étant donné que le Contrat est signé par les Parties, il ne faut pas de motivation supplémentaire à cet égard.</w:t>
      </w:r>
    </w:p>
    <w:p w14:paraId="6A5ABC5C" w14:textId="623FBCCF" w:rsidR="00091BEB" w:rsidRDefault="00091BEB" w:rsidP="00091BEB">
      <w:pPr>
        <w:pStyle w:val="Listenumros"/>
        <w:numPr>
          <w:ilvl w:val="4"/>
          <w:numId w:val="15"/>
        </w:numPr>
        <w:spacing w:after="160"/>
        <w:contextualSpacing w:val="0"/>
        <w:jc w:val="both"/>
        <w:rPr>
          <w:color w:val="70AD47" w:themeColor="accent6"/>
        </w:rPr>
      </w:pPr>
      <w:r>
        <w:rPr>
          <w:color w:val="70AD47" w:themeColor="accent6"/>
        </w:rPr>
        <w:t>Article 121 AR Exécution : Modifications au marché ;</w:t>
      </w:r>
    </w:p>
    <w:p w14:paraId="20E5BC14" w14:textId="5B2D30B8" w:rsidR="00091BEB" w:rsidRPr="00091BEB" w:rsidRDefault="00091BEB" w:rsidP="00091BEB">
      <w:pPr>
        <w:pStyle w:val="Listenumros"/>
        <w:spacing w:after="160"/>
        <w:ind w:left="2835"/>
        <w:contextualSpacing w:val="0"/>
        <w:jc w:val="both"/>
        <w:rPr>
          <w:color w:val="FF0000"/>
        </w:rPr>
      </w:pPr>
      <w:r>
        <w:rPr>
          <w:color w:val="FF0000"/>
        </w:rPr>
        <w:t>La disposition suivante doit être ajoutée si des Services de Recherche et de Développement font aussi l'objet du marché. Étant donné que le Contrat est signé par les Parties, il ne faut pas de motivation supplémentaire à cet égard.</w:t>
      </w:r>
    </w:p>
    <w:p w14:paraId="66A532F1" w14:textId="7A8AAFB3" w:rsidR="00091BEB" w:rsidRPr="00C911DA" w:rsidRDefault="00091BEB" w:rsidP="00C911DA">
      <w:pPr>
        <w:pStyle w:val="Listenumros"/>
        <w:numPr>
          <w:ilvl w:val="4"/>
          <w:numId w:val="15"/>
        </w:numPr>
        <w:spacing w:after="160"/>
        <w:contextualSpacing w:val="0"/>
        <w:jc w:val="both"/>
        <w:rPr>
          <w:color w:val="70AD47" w:themeColor="accent6"/>
        </w:rPr>
      </w:pPr>
      <w:r>
        <w:rPr>
          <w:color w:val="70AD47" w:themeColor="accent6"/>
        </w:rPr>
        <w:t>Article 151 AR Exécution : Modifications au marché</w:t>
      </w:r>
      <w:r w:rsidR="00DF233B">
        <w:rPr>
          <w:color w:val="70AD47" w:themeColor="accent6"/>
        </w:rPr>
        <w:t>.</w:t>
      </w:r>
    </w:p>
    <w:p w14:paraId="28A288B5" w14:textId="77777777" w:rsidR="0046402B" w:rsidRPr="0046402B" w:rsidRDefault="0046402B" w:rsidP="0046402B">
      <w:pPr>
        <w:pStyle w:val="Listenumros"/>
        <w:spacing w:after="160"/>
        <w:ind w:left="3402"/>
        <w:contextualSpacing w:val="0"/>
        <w:jc w:val="both"/>
        <w:rPr>
          <w:color w:val="70AD47" w:themeColor="accent6"/>
        </w:rPr>
      </w:pPr>
    </w:p>
    <w:p w14:paraId="788855A8" w14:textId="3069C0BF" w:rsidR="00141F20" w:rsidRDefault="00141F20" w:rsidP="00141F20">
      <w:pPr>
        <w:pStyle w:val="Titre3"/>
      </w:pPr>
      <w:bookmarkStart w:id="5" w:name="_Toc215498966"/>
      <w:r>
        <w:t>Interprétation</w:t>
      </w:r>
      <w:bookmarkEnd w:id="5"/>
    </w:p>
    <w:p w14:paraId="22A7F6C4" w14:textId="689A9BF2" w:rsidR="00141F20" w:rsidRDefault="00141F20" w:rsidP="000546E0">
      <w:pPr>
        <w:pStyle w:val="Listenumros"/>
        <w:numPr>
          <w:ilvl w:val="3"/>
          <w:numId w:val="15"/>
        </w:numPr>
        <w:spacing w:after="160"/>
        <w:contextualSpacing w:val="0"/>
        <w:jc w:val="both"/>
      </w:pPr>
      <w:r>
        <w:t>Le Contrat constitue l'intégralité de l'accord entre les Parties en ce qui concerne l'exécution du Marché. Chaque Partie reconnaît ne pas avoir passé le présent Contrat sur la base de la moindre garantie, déclaration, engagement ou accord, sauf ceux expressément mentionnés dans le présent Contrat.</w:t>
      </w:r>
    </w:p>
    <w:p w14:paraId="45AA1F57" w14:textId="626815C5" w:rsidR="00196134" w:rsidRDefault="2130BECD" w:rsidP="2130BECD">
      <w:pPr>
        <w:pStyle w:val="Listenumros"/>
        <w:numPr>
          <w:ilvl w:val="3"/>
          <w:numId w:val="15"/>
        </w:numPr>
        <w:spacing w:after="160"/>
        <w:jc w:val="both"/>
      </w:pPr>
      <w:r>
        <w:t>Le Contrat doit être lu avec le Guide d'attribution et l'Offre. Les dispositions reprises dans le Guide d'attribution complètent le Contrat.</w:t>
      </w:r>
    </w:p>
    <w:p w14:paraId="662E58FF" w14:textId="6A79C28D" w:rsidR="00141F20" w:rsidRDefault="00141F20" w:rsidP="000546E0">
      <w:pPr>
        <w:pStyle w:val="Listenumros"/>
        <w:numPr>
          <w:ilvl w:val="3"/>
          <w:numId w:val="15"/>
        </w:numPr>
        <w:spacing w:after="160"/>
        <w:contextualSpacing w:val="0"/>
        <w:jc w:val="both"/>
      </w:pPr>
      <w:r>
        <w:t>En cas de contradiction entre le Contrat, d'une part, et le Guide d'attribution ou l'Offre, d'autre part, les documents prévalent dans l'ordre suivant :</w:t>
      </w:r>
    </w:p>
    <w:p w14:paraId="6D3542B0" w14:textId="60FCF6B7" w:rsidR="00141F20" w:rsidRDefault="000546E0" w:rsidP="000546E0">
      <w:pPr>
        <w:pStyle w:val="Listenumros"/>
        <w:numPr>
          <w:ilvl w:val="4"/>
          <w:numId w:val="15"/>
        </w:numPr>
        <w:spacing w:after="160"/>
        <w:contextualSpacing w:val="0"/>
        <w:jc w:val="both"/>
      </w:pPr>
      <w:r>
        <w:t>Contrat ;</w:t>
      </w:r>
    </w:p>
    <w:p w14:paraId="1E72455B" w14:textId="58D5375A" w:rsidR="00141F20" w:rsidRDefault="007C1E8F" w:rsidP="000546E0">
      <w:pPr>
        <w:pStyle w:val="Listenumros"/>
        <w:numPr>
          <w:ilvl w:val="4"/>
          <w:numId w:val="15"/>
        </w:numPr>
        <w:spacing w:after="160"/>
        <w:contextualSpacing w:val="0"/>
        <w:jc w:val="both"/>
      </w:pPr>
      <w:r>
        <w:t>Guide d'attribution ;</w:t>
      </w:r>
    </w:p>
    <w:p w14:paraId="74F120DB" w14:textId="51E5995F" w:rsidR="00FA1A72" w:rsidRDefault="00FA1A72" w:rsidP="007C1E8F">
      <w:pPr>
        <w:pStyle w:val="Listenumros"/>
        <w:numPr>
          <w:ilvl w:val="4"/>
          <w:numId w:val="15"/>
        </w:numPr>
        <w:spacing w:after="160"/>
        <w:contextualSpacing w:val="0"/>
        <w:jc w:val="both"/>
      </w:pPr>
      <w:r>
        <w:t>Offre ;</w:t>
      </w:r>
    </w:p>
    <w:p w14:paraId="7332620A" w14:textId="5E3B081C" w:rsidR="007C1E8F" w:rsidRDefault="007C1E8F" w:rsidP="007C1E8F">
      <w:pPr>
        <w:pStyle w:val="Listenumros"/>
        <w:numPr>
          <w:ilvl w:val="4"/>
          <w:numId w:val="15"/>
        </w:numPr>
        <w:spacing w:after="160"/>
        <w:contextualSpacing w:val="0"/>
        <w:jc w:val="both"/>
      </w:pPr>
      <w:r>
        <w:t>Document descriptif ;</w:t>
      </w:r>
    </w:p>
    <w:p w14:paraId="53E5640C" w14:textId="0A3AA47C" w:rsidR="00141F20" w:rsidRDefault="00141F20" w:rsidP="000546E0">
      <w:pPr>
        <w:pStyle w:val="Listenumros"/>
        <w:numPr>
          <w:ilvl w:val="4"/>
          <w:numId w:val="15"/>
        </w:numPr>
        <w:spacing w:after="160"/>
        <w:contextualSpacing w:val="0"/>
        <w:jc w:val="both"/>
      </w:pPr>
      <w:r>
        <w:t>Autres documents du marché.</w:t>
      </w:r>
    </w:p>
    <w:p w14:paraId="6DEB1EF0" w14:textId="5E9E6BDA" w:rsidR="00FA1A72" w:rsidRDefault="00FA1A72" w:rsidP="000546E0">
      <w:pPr>
        <w:pStyle w:val="Listenumros"/>
        <w:numPr>
          <w:ilvl w:val="3"/>
          <w:numId w:val="15"/>
        </w:numPr>
        <w:spacing w:after="160"/>
        <w:contextualSpacing w:val="0"/>
        <w:jc w:val="both"/>
      </w:pPr>
      <w:r>
        <w:t>En tout cas, en cas de contradiction entre les différents documents, l'Adjudicataire exécutera le Contrat dans le meilleur intérêt du Marché, une interprétation restrictive des obligations de l'Adjudicataire ne pouvant pas automatiquement être supposée.</w:t>
      </w:r>
    </w:p>
    <w:p w14:paraId="1958069F" w14:textId="5B4A5A4A" w:rsidR="00FA1A72" w:rsidRDefault="00FA1A72" w:rsidP="000546E0">
      <w:pPr>
        <w:pStyle w:val="Listenumros"/>
        <w:numPr>
          <w:ilvl w:val="3"/>
          <w:numId w:val="15"/>
        </w:numPr>
        <w:spacing w:after="160"/>
        <w:contextualSpacing w:val="0"/>
        <w:jc w:val="both"/>
      </w:pPr>
      <w:r>
        <w:t>S'il existe une version numérique et analogue (c'est-à-dire papier) d'un document, en cas de contradiction entre les deux versions, la version analogue (c'est-à-dire papier) prévaut.</w:t>
      </w:r>
    </w:p>
    <w:p w14:paraId="0FC58D0D" w14:textId="23229D71" w:rsidR="00FA1A72" w:rsidRDefault="00FA1A72" w:rsidP="000546E0">
      <w:pPr>
        <w:pStyle w:val="Listenumros"/>
        <w:numPr>
          <w:ilvl w:val="3"/>
          <w:numId w:val="15"/>
        </w:numPr>
        <w:spacing w:after="160"/>
        <w:contextualSpacing w:val="0"/>
        <w:jc w:val="both"/>
      </w:pPr>
      <w:r>
        <w:t>Sauf si le contexte indique qu'il en va autrement, les principes suivants sont d'application dans le Contrat :</w:t>
      </w:r>
    </w:p>
    <w:p w14:paraId="56081D7F" w14:textId="4057A9A5" w:rsidR="00FA1A72" w:rsidRPr="00FA1A72" w:rsidRDefault="00FA1A72" w:rsidP="000546E0">
      <w:pPr>
        <w:pStyle w:val="Paragraphedeliste"/>
        <w:numPr>
          <w:ilvl w:val="4"/>
          <w:numId w:val="15"/>
        </w:numPr>
        <w:jc w:val="both"/>
      </w:pPr>
      <w:r>
        <w:lastRenderedPageBreak/>
        <w:t>Les renvois à des dispositions de la législation et de la réglementation doivent être interprétés comme des renvois à la version la plus récente de ces dispositions, qui sont de temps en temps modifiées, adaptées, redéfinies ou remplacées, à l'exception de ce qui concerne la loi sur les marchés publics et ses arrêtés d'exécution, dont l'AR Exécution ;</w:t>
      </w:r>
    </w:p>
    <w:p w14:paraId="0F331C02" w14:textId="4EE39677" w:rsidR="00FA1A72" w:rsidRDefault="00FA1A72" w:rsidP="000546E0">
      <w:pPr>
        <w:pStyle w:val="Paragraphedeliste"/>
        <w:numPr>
          <w:ilvl w:val="4"/>
          <w:numId w:val="15"/>
        </w:numPr>
        <w:jc w:val="both"/>
      </w:pPr>
      <w:r>
        <w:t>Les renvois à des documents doivent être interprétés comme des renvois à la version la plus récente de ces documents qui peuvent de temps à autres être modifiés, complétés, reformulés ou renouvelés ;</w:t>
      </w:r>
    </w:p>
    <w:p w14:paraId="46730981" w14:textId="71F92A4C" w:rsidR="000546E0" w:rsidRDefault="000546E0" w:rsidP="000546E0">
      <w:pPr>
        <w:pStyle w:val="Paragraphedeliste"/>
        <w:numPr>
          <w:ilvl w:val="4"/>
          <w:numId w:val="15"/>
        </w:numPr>
        <w:jc w:val="both"/>
      </w:pPr>
      <w:r>
        <w:t>Les renvois à des articles et annexes sont des renvois à des articles et annexes du document dans lequel le renvoi apparaît (éventuellement modifié ou complété) ;</w:t>
      </w:r>
    </w:p>
    <w:p w14:paraId="05832116" w14:textId="55440439" w:rsidR="000546E0" w:rsidRDefault="000546E0" w:rsidP="000546E0">
      <w:pPr>
        <w:pStyle w:val="Paragraphedeliste"/>
        <w:numPr>
          <w:ilvl w:val="4"/>
          <w:numId w:val="15"/>
        </w:numPr>
        <w:jc w:val="both"/>
      </w:pPr>
      <w:r>
        <w:t>Les renvois à un document renvoient aussi aux annexes correspondantes ;</w:t>
      </w:r>
    </w:p>
    <w:p w14:paraId="5918BEB4" w14:textId="2350BDDC" w:rsidR="000546E0" w:rsidRDefault="000546E0" w:rsidP="000546E0">
      <w:pPr>
        <w:pStyle w:val="Paragraphedeliste"/>
        <w:numPr>
          <w:ilvl w:val="4"/>
          <w:numId w:val="15"/>
        </w:numPr>
        <w:jc w:val="both"/>
      </w:pPr>
      <w:r>
        <w:t>Les renvois aux jours sont considérés comme étant des renvois à des jours calendrier, sauf mention expresse contraire ;</w:t>
      </w:r>
    </w:p>
    <w:p w14:paraId="78C90F15" w14:textId="3C911944" w:rsidR="000546E0" w:rsidRPr="00FA1A72" w:rsidRDefault="000546E0" w:rsidP="000546E0">
      <w:pPr>
        <w:pStyle w:val="Paragraphedeliste"/>
        <w:numPr>
          <w:ilvl w:val="4"/>
          <w:numId w:val="15"/>
        </w:numPr>
        <w:jc w:val="both"/>
      </w:pPr>
      <w:r>
        <w:t xml:space="preserve">Les renvois à des personnes, des personnes morales ou des organes publics sont considérés comme renvoyant également aux éventuels ayants cause de ces entités ; </w:t>
      </w:r>
    </w:p>
    <w:p w14:paraId="1FA8E1D2" w14:textId="5C0BF2A4" w:rsidR="00FA1A72" w:rsidRDefault="000546E0" w:rsidP="000546E0">
      <w:pPr>
        <w:pStyle w:val="Paragraphedeliste"/>
        <w:numPr>
          <w:ilvl w:val="4"/>
          <w:numId w:val="15"/>
        </w:numPr>
        <w:jc w:val="both"/>
      </w:pPr>
      <w:r>
        <w:t>Tous les accords, les approbations, les autorisations ou les acceptations par une Partie qui sont nécessaires sur la base du Contrat doivent être donnés et obtenus au préalable (dans le délai défini dans le Contrat), expressément et par écrit. Si le Contrat n'est assorti d'aucun délai, un délai raisonnable sera défini de commun accord entre les Parties.</w:t>
      </w:r>
    </w:p>
    <w:p w14:paraId="5219FB93" w14:textId="04BCC287" w:rsidR="00217103" w:rsidRDefault="00217103" w:rsidP="00217103">
      <w:pPr>
        <w:pStyle w:val="Titre3"/>
      </w:pPr>
      <w:bookmarkStart w:id="6" w:name="_Toc215498967"/>
      <w:r>
        <w:t>Durée et entrée en vigueur du Contrat</w:t>
      </w:r>
      <w:bookmarkEnd w:id="6"/>
    </w:p>
    <w:p w14:paraId="49D526F2" w14:textId="25D2ABF2" w:rsidR="00217103" w:rsidRDefault="00217103" w:rsidP="00217103">
      <w:pPr>
        <w:pStyle w:val="Listenumros"/>
        <w:numPr>
          <w:ilvl w:val="3"/>
          <w:numId w:val="15"/>
        </w:numPr>
        <w:spacing w:after="160"/>
        <w:contextualSpacing w:val="0"/>
        <w:jc w:val="both"/>
      </w:pPr>
      <w:r>
        <w:t xml:space="preserve">Le Contrat entre en vigueur après sa signature par les deux Parties et expire à la Date finale, sauf dans les cas où le Contrat est résilié prématurément en application de </w:t>
      </w:r>
      <w:r w:rsidRPr="00124046">
        <w:fldChar w:fldCharType="begin"/>
      </w:r>
      <w:r w:rsidRPr="00124046">
        <w:instrText xml:space="preserve"> REF _Ref143620531 \r \h  \* MERGEFORMAT </w:instrText>
      </w:r>
      <w:r w:rsidRPr="00124046">
        <w:fldChar w:fldCharType="separate"/>
      </w:r>
      <w:r>
        <w:t>l'Article 11</w:t>
      </w:r>
      <w:r w:rsidRPr="00124046">
        <w:fldChar w:fldCharType="end"/>
      </w:r>
      <w:r>
        <w:t xml:space="preserve"> ou est dissous en application de </w:t>
      </w:r>
      <w:r w:rsidRPr="00124046">
        <w:fldChar w:fldCharType="begin"/>
      </w:r>
      <w:r w:rsidRPr="00124046">
        <w:instrText xml:space="preserve"> REF _Ref143620544 \r \h  \* MERGEFORMAT </w:instrText>
      </w:r>
      <w:r w:rsidRPr="00124046">
        <w:fldChar w:fldCharType="separate"/>
      </w:r>
      <w:r>
        <w:t>l'Article 12</w:t>
      </w:r>
      <w:r w:rsidRPr="00124046">
        <w:fldChar w:fldCharType="end"/>
      </w:r>
      <w:r>
        <w:t>.</w:t>
      </w:r>
    </w:p>
    <w:p w14:paraId="1143E503" w14:textId="2341BB31" w:rsidR="00217103" w:rsidRDefault="00217103" w:rsidP="00217103">
      <w:pPr>
        <w:pStyle w:val="Listenumros"/>
        <w:numPr>
          <w:ilvl w:val="3"/>
          <w:numId w:val="15"/>
        </w:numPr>
        <w:spacing w:after="160"/>
        <w:contextualSpacing w:val="0"/>
        <w:jc w:val="both"/>
      </w:pPr>
      <w:r>
        <w:t>Le délai d'exécution des obligations repris dans le Contrat ne peut être prolongé qu'avec l'autorisation expresse écrite des Parties avant l'expiration du délai d'exécution des obligations.</w:t>
      </w:r>
    </w:p>
    <w:p w14:paraId="376C5587" w14:textId="0B690908" w:rsidR="00217103" w:rsidRPr="00124046" w:rsidRDefault="00217103" w:rsidP="00217103">
      <w:pPr>
        <w:pStyle w:val="Listenumros"/>
        <w:numPr>
          <w:ilvl w:val="3"/>
          <w:numId w:val="15"/>
        </w:numPr>
        <w:spacing w:after="160"/>
        <w:contextualSpacing w:val="0"/>
        <w:jc w:val="both"/>
      </w:pPr>
      <w:r>
        <w:t xml:space="preserve">Les dispositions prévues aux </w:t>
      </w:r>
      <w:r w:rsidR="00124046" w:rsidRPr="00124046">
        <w:fldChar w:fldCharType="begin"/>
      </w:r>
      <w:r w:rsidR="00124046" w:rsidRPr="00124046">
        <w:instrText xml:space="preserve"> REF _Ref143721147 \n \h  \* MERGEFORMAT </w:instrText>
      </w:r>
      <w:r w:rsidR="00124046" w:rsidRPr="00124046">
        <w:fldChar w:fldCharType="separate"/>
      </w:r>
      <w:r>
        <w:t>Article 9</w:t>
      </w:r>
      <w:r w:rsidR="00124046" w:rsidRPr="00124046">
        <w:fldChar w:fldCharType="end"/>
      </w:r>
      <w:r>
        <w:t xml:space="preserve">, </w:t>
      </w:r>
      <w:r w:rsidR="003429FD" w:rsidRPr="00124046">
        <w:fldChar w:fldCharType="begin"/>
      </w:r>
      <w:r w:rsidR="003429FD" w:rsidRPr="00124046">
        <w:instrText xml:space="preserve"> REF _Ref143721165 \n \h  \* MERGEFORMAT </w:instrText>
      </w:r>
      <w:r w:rsidR="003429FD" w:rsidRPr="00124046">
        <w:fldChar w:fldCharType="separate"/>
      </w:r>
      <w:r>
        <w:t>Article 26</w:t>
      </w:r>
      <w:r w:rsidR="003429FD" w:rsidRPr="00124046">
        <w:fldChar w:fldCharType="end"/>
      </w:r>
      <w:r>
        <w:t xml:space="preserve">, </w:t>
      </w:r>
      <w:r w:rsidR="003429FD" w:rsidRPr="00124046">
        <w:fldChar w:fldCharType="begin"/>
      </w:r>
      <w:r w:rsidR="003429FD" w:rsidRPr="00124046">
        <w:instrText xml:space="preserve"> REF _Ref143721057 \n \h  \* MERGEFORMAT </w:instrText>
      </w:r>
      <w:r w:rsidR="003429FD" w:rsidRPr="00124046">
        <w:fldChar w:fldCharType="separate"/>
      </w:r>
      <w:r>
        <w:t>Article 28</w:t>
      </w:r>
      <w:r w:rsidR="003429FD" w:rsidRPr="00124046">
        <w:fldChar w:fldCharType="end"/>
      </w:r>
      <w:r>
        <w:t xml:space="preserve">, </w:t>
      </w:r>
      <w:r w:rsidR="003429FD" w:rsidRPr="00124046">
        <w:fldChar w:fldCharType="begin"/>
      </w:r>
      <w:r w:rsidR="003429FD" w:rsidRPr="00124046">
        <w:instrText xml:space="preserve"> REF _Ref143721043 \n \h  \* MERGEFORMAT </w:instrText>
      </w:r>
      <w:r w:rsidR="003429FD" w:rsidRPr="00124046">
        <w:fldChar w:fldCharType="separate"/>
      </w:r>
      <w:r>
        <w:t>Article 29</w:t>
      </w:r>
      <w:r w:rsidR="003429FD" w:rsidRPr="00124046">
        <w:fldChar w:fldCharType="end"/>
      </w:r>
      <w:r>
        <w:t xml:space="preserve">, </w:t>
      </w:r>
      <w:r w:rsidR="00124046" w:rsidRPr="00124046">
        <w:fldChar w:fldCharType="begin"/>
      </w:r>
      <w:r w:rsidR="00124046" w:rsidRPr="00124046">
        <w:instrText xml:space="preserve"> REF _Ref143721026 \n \h  \* MERGEFORMAT </w:instrText>
      </w:r>
      <w:r w:rsidR="00124046" w:rsidRPr="00124046">
        <w:fldChar w:fldCharType="separate"/>
      </w:r>
      <w:r>
        <w:t>Article</w:t>
      </w:r>
      <w:r w:rsidR="00DF233B">
        <w:t> </w:t>
      </w:r>
      <w:r>
        <w:t>31</w:t>
      </w:r>
      <w:r w:rsidR="00124046" w:rsidRPr="00124046">
        <w:fldChar w:fldCharType="end"/>
      </w:r>
      <w:r>
        <w:t xml:space="preserve"> restent sans délai en vigueur une fois que le Contrat a pris fin, même si le Contrat a pris fin suite à une résiliation prévue à </w:t>
      </w:r>
      <w:r w:rsidRPr="00124046">
        <w:fldChar w:fldCharType="begin"/>
      </w:r>
      <w:r w:rsidRPr="00124046">
        <w:instrText xml:space="preserve"> REF _Ref143620531 \r \h  \* MERGEFORMAT </w:instrText>
      </w:r>
      <w:r w:rsidRPr="00124046">
        <w:fldChar w:fldCharType="separate"/>
      </w:r>
      <w:r>
        <w:t>l'Article 11</w:t>
      </w:r>
      <w:r w:rsidRPr="00124046">
        <w:fldChar w:fldCharType="end"/>
      </w:r>
      <w:r>
        <w:t xml:space="preserve"> ou à une dissolution prévue à </w:t>
      </w:r>
      <w:r w:rsidRPr="00124046">
        <w:fldChar w:fldCharType="begin"/>
      </w:r>
      <w:r w:rsidRPr="00124046">
        <w:instrText xml:space="preserve"> REF _Ref143620544 \r \h  \* MERGEFORMAT </w:instrText>
      </w:r>
      <w:r w:rsidRPr="00124046">
        <w:fldChar w:fldCharType="separate"/>
      </w:r>
      <w:r>
        <w:t>l'Article 12</w:t>
      </w:r>
      <w:r w:rsidRPr="00124046">
        <w:fldChar w:fldCharType="end"/>
      </w:r>
      <w:r>
        <w:t>, pour une période d'au moins quatre (4) ans après la fin du Contrat.</w:t>
      </w:r>
    </w:p>
    <w:p w14:paraId="1E158142" w14:textId="017240FB" w:rsidR="007E5FE0" w:rsidRDefault="007E5FE0" w:rsidP="007E5FE0">
      <w:pPr>
        <w:pStyle w:val="Titre3"/>
      </w:pPr>
      <w:bookmarkStart w:id="7" w:name="_Toc215498968"/>
      <w:r>
        <w:t>Obligations de l’Adjudicataire</w:t>
      </w:r>
      <w:bookmarkEnd w:id="7"/>
    </w:p>
    <w:p w14:paraId="1847EAB4" w14:textId="1E6B5D9D" w:rsidR="007E5FE0" w:rsidRDefault="007E5FE0" w:rsidP="00647374">
      <w:pPr>
        <w:pStyle w:val="Listenumros"/>
        <w:numPr>
          <w:ilvl w:val="3"/>
          <w:numId w:val="15"/>
        </w:numPr>
        <w:spacing w:after="160"/>
        <w:contextualSpacing w:val="0"/>
        <w:jc w:val="both"/>
      </w:pPr>
      <w:r>
        <w:t>L'Adjudicataire s'engage à exécuter le Marché comme précisé dans le Guide d'attribution, les annexes correspondantes et son Offre, en tenant compte de la Réglementation en vigueur.</w:t>
      </w:r>
    </w:p>
    <w:p w14:paraId="463E76E1" w14:textId="61C26C8F" w:rsidR="006029F2" w:rsidRDefault="006029F2" w:rsidP="006029F2">
      <w:pPr>
        <w:pStyle w:val="Listenumros"/>
        <w:numPr>
          <w:ilvl w:val="3"/>
          <w:numId w:val="15"/>
        </w:numPr>
        <w:spacing w:after="160"/>
        <w:contextualSpacing w:val="0"/>
        <w:jc w:val="both"/>
      </w:pPr>
      <w:r>
        <w:lastRenderedPageBreak/>
        <w:t>L'Adjudicataire déclare expressément exécuter le Marché en temps voulu et conformément au Contrat, et il confirme être complètement informé de l'ampleur et du degré de difficulté des prestations à assurer.</w:t>
      </w:r>
    </w:p>
    <w:p w14:paraId="59DFE212" w14:textId="054814A2" w:rsidR="00415128" w:rsidRDefault="00415128" w:rsidP="00415128">
      <w:pPr>
        <w:pStyle w:val="Listenumros"/>
        <w:numPr>
          <w:ilvl w:val="3"/>
          <w:numId w:val="15"/>
        </w:numPr>
        <w:spacing w:after="160"/>
        <w:contextualSpacing w:val="0"/>
        <w:jc w:val="both"/>
      </w:pPr>
      <w:r>
        <w:t>L'Adjudicataire s'engage à collaborer avec le Maître d'ouvrage dans toutes les matières liées au Marché.</w:t>
      </w:r>
    </w:p>
    <w:p w14:paraId="36ED9C2F" w14:textId="18477C65" w:rsidR="006029F2" w:rsidRDefault="006029F2" w:rsidP="006029F2">
      <w:pPr>
        <w:pStyle w:val="Listenumros"/>
        <w:numPr>
          <w:ilvl w:val="3"/>
          <w:numId w:val="15"/>
        </w:numPr>
        <w:spacing w:after="160"/>
        <w:contextualSpacing w:val="0"/>
        <w:jc w:val="both"/>
      </w:pPr>
      <w:r>
        <w:t>Pour l'exécution du Marché, l'Adjudicataire a recours aux membres du personnel mentionnés dans son Offre. Si l'Adjudicataire veut remplacer un membre du personnel, il devra demander l'autorisation écrite du Maître d'ouvrage, l'Adjudicataire proposant un membre du personnel qui interviendrait en tant que remplaçant. Le Maître d'ouvrage peut refuser ce remplacement si le membre du personnel qui officierait en tant que remplaçant ne dispose pas au moins des mêmes qualités que le membre du personnel mentionné dans l'Offre.</w:t>
      </w:r>
    </w:p>
    <w:p w14:paraId="3E715844" w14:textId="00E7D90D" w:rsidR="007E5FE0" w:rsidRDefault="007E5FE0" w:rsidP="00647374">
      <w:pPr>
        <w:pStyle w:val="Listenumros"/>
        <w:numPr>
          <w:ilvl w:val="3"/>
          <w:numId w:val="15"/>
        </w:numPr>
        <w:spacing w:after="160"/>
        <w:contextualSpacing w:val="0"/>
        <w:jc w:val="both"/>
      </w:pPr>
      <w:r>
        <w:t>L'Adjudicataire s'engage à garantir que chaque membre du personnel de l'Adjudicataire impliqué dans l'exécution du Marché respecte les dispositions du présent Contrat.</w:t>
      </w:r>
    </w:p>
    <w:p w14:paraId="36F4EA01" w14:textId="6D281EC0" w:rsidR="00BD18A4" w:rsidRDefault="00BD18A4" w:rsidP="00647374">
      <w:pPr>
        <w:pStyle w:val="Listenumros"/>
        <w:numPr>
          <w:ilvl w:val="3"/>
          <w:numId w:val="15"/>
        </w:numPr>
        <w:spacing w:after="160"/>
        <w:contextualSpacing w:val="0"/>
        <w:jc w:val="both"/>
      </w:pPr>
      <w:r>
        <w:t>Quels que soient les événements et les circonstances qui se présentent durant l'exécution du Marché, l'Adjudicataire :</w:t>
      </w:r>
    </w:p>
    <w:p w14:paraId="605E6B87" w14:textId="72B6ECEF" w:rsidR="00BD18A4" w:rsidRDefault="00863C50" w:rsidP="00BD18A4">
      <w:pPr>
        <w:pStyle w:val="Listenumros"/>
        <w:numPr>
          <w:ilvl w:val="4"/>
          <w:numId w:val="15"/>
        </w:numPr>
        <w:spacing w:after="160"/>
        <w:contextualSpacing w:val="0"/>
        <w:jc w:val="both"/>
      </w:pPr>
      <w:r>
        <w:t>n'a pas droit au moindre paiement ou à la moindre indemnité de la part du Maître d'ouvrage, sauf dans les cas où c'est expressément prévu dans le Contrat, y compris les dispositions de l'AR Exécution, pour autant que d'application en vertu du Contrat ; et</w:t>
      </w:r>
    </w:p>
    <w:p w14:paraId="6B076A2B" w14:textId="7B08E9FB" w:rsidR="00863C50" w:rsidRDefault="00863C50" w:rsidP="00BD18A4">
      <w:pPr>
        <w:pStyle w:val="Listenumros"/>
        <w:numPr>
          <w:ilvl w:val="4"/>
          <w:numId w:val="15"/>
        </w:numPr>
        <w:spacing w:after="160"/>
        <w:contextualSpacing w:val="0"/>
        <w:jc w:val="both"/>
      </w:pPr>
      <w:r>
        <w:t>n'a pas droit à un report ou à une suspension du respect de ses engagements, sauf si un tel droit est expressément accordé dans le Contrat (moyennant une modification convenue par écrit ou non) et/ou en vertu des dispositions de l'AR Exécution, pour autant que d'application en vertu du Contrat et conformément aux modalités définies dans le Contrat.</w:t>
      </w:r>
    </w:p>
    <w:p w14:paraId="7B2B9AB1" w14:textId="046F4DD7" w:rsidR="00F57B9A" w:rsidRPr="00DF233B" w:rsidRDefault="00F57B9A" w:rsidP="00F57B9A">
      <w:pPr>
        <w:pStyle w:val="Titre3"/>
        <w:rPr>
          <w:lang w:val="en-US"/>
        </w:rPr>
      </w:pPr>
      <w:bookmarkStart w:id="8" w:name="_Toc215498969"/>
      <w:r w:rsidRPr="00DF233B">
        <w:rPr>
          <w:lang w:val="en-US"/>
        </w:rPr>
        <w:t>Single Point of Contact (SPOC)</w:t>
      </w:r>
      <w:bookmarkEnd w:id="8"/>
    </w:p>
    <w:p w14:paraId="48F019DD" w14:textId="1ABBC975" w:rsidR="00F57B9A" w:rsidRPr="00415128" w:rsidRDefault="00415128" w:rsidP="00F57B9A">
      <w:pPr>
        <w:pStyle w:val="Listenumros"/>
        <w:numPr>
          <w:ilvl w:val="3"/>
          <w:numId w:val="15"/>
        </w:numPr>
        <w:spacing w:after="160"/>
        <w:contextualSpacing w:val="0"/>
        <w:jc w:val="both"/>
      </w:pPr>
      <w:r>
        <w:t>L'Adjudicataire désigne un single point of contact (SPOC) pour l'exécution du présent Contrat.</w:t>
      </w:r>
    </w:p>
    <w:p w14:paraId="2A1067EE" w14:textId="4F29A2AB" w:rsidR="00415128" w:rsidRDefault="00415128" w:rsidP="00415128">
      <w:pPr>
        <w:pStyle w:val="Listenumros"/>
        <w:numPr>
          <w:ilvl w:val="3"/>
          <w:numId w:val="15"/>
        </w:numPr>
        <w:spacing w:after="160"/>
        <w:contextualSpacing w:val="0"/>
        <w:jc w:val="both"/>
      </w:pPr>
      <w:r>
        <w:t>L'Adjudicataire confirme que le SPOC est mandaté pour le représenter à toutes les fins et qu'il peut engager juridiquement l'Adjudicataire.</w:t>
      </w:r>
    </w:p>
    <w:p w14:paraId="54742C54" w14:textId="6A2B3CA5" w:rsidR="00415128" w:rsidRDefault="00415128" w:rsidP="00415128">
      <w:pPr>
        <w:pStyle w:val="Listenumros"/>
        <w:numPr>
          <w:ilvl w:val="3"/>
          <w:numId w:val="15"/>
        </w:numPr>
        <w:spacing w:after="160"/>
        <w:contextualSpacing w:val="0"/>
        <w:jc w:val="both"/>
      </w:pPr>
      <w:bookmarkStart w:id="9" w:name="_Ref143616891"/>
      <w:r>
        <w:t>L'Adjudicataire transmet les coordonnées du SPOC au Maître d'ouvrage au plus tard quinze (15) jours après la signature du Contrat. Les données suivantes sont transmises :</w:t>
      </w:r>
      <w:bookmarkEnd w:id="9"/>
    </w:p>
    <w:p w14:paraId="6B36DAAE" w14:textId="40D4E97E" w:rsidR="00415128" w:rsidRDefault="00415128" w:rsidP="00415128">
      <w:pPr>
        <w:pStyle w:val="Listenumros"/>
        <w:numPr>
          <w:ilvl w:val="4"/>
          <w:numId w:val="15"/>
        </w:numPr>
        <w:spacing w:after="160"/>
        <w:contextualSpacing w:val="0"/>
        <w:jc w:val="both"/>
      </w:pPr>
      <w:r>
        <w:t>Le nom et le prénom du SPOC ;</w:t>
      </w:r>
    </w:p>
    <w:p w14:paraId="2E1AB825" w14:textId="5E16756F" w:rsidR="00415128" w:rsidRDefault="00415128" w:rsidP="00415128">
      <w:pPr>
        <w:pStyle w:val="Listenumros"/>
        <w:numPr>
          <w:ilvl w:val="4"/>
          <w:numId w:val="15"/>
        </w:numPr>
        <w:spacing w:after="160"/>
        <w:contextualSpacing w:val="0"/>
        <w:jc w:val="both"/>
      </w:pPr>
      <w:r>
        <w:t>L'adresse email du SPOC ;</w:t>
      </w:r>
    </w:p>
    <w:p w14:paraId="177B602B" w14:textId="24A45D51" w:rsidR="00415128" w:rsidRDefault="00415128" w:rsidP="00415128">
      <w:pPr>
        <w:pStyle w:val="Listenumros"/>
        <w:numPr>
          <w:ilvl w:val="4"/>
          <w:numId w:val="15"/>
        </w:numPr>
        <w:spacing w:after="160"/>
        <w:contextualSpacing w:val="0"/>
        <w:jc w:val="both"/>
      </w:pPr>
      <w:r>
        <w:t>Le numéro de téléphone du SPOC.</w:t>
      </w:r>
    </w:p>
    <w:p w14:paraId="7C3DC996" w14:textId="308F7E28" w:rsidR="00415128" w:rsidRPr="00415128" w:rsidRDefault="00415128" w:rsidP="00415128">
      <w:pPr>
        <w:pStyle w:val="Listenumros"/>
        <w:numPr>
          <w:ilvl w:val="3"/>
          <w:numId w:val="15"/>
        </w:numPr>
        <w:spacing w:after="160"/>
        <w:contextualSpacing w:val="0"/>
        <w:jc w:val="both"/>
      </w:pPr>
      <w:r>
        <w:lastRenderedPageBreak/>
        <w:t xml:space="preserve">Si le SPOC se trouve dans un Cas d'indisponibilité, l'Adjudicataire s'engage à garantir la continuité de l'exécution du Marché et il désigne un remplaçant provisoire du SPOC. L'Adjudicataire transmet sans délai et au plus tard dans les deux (2) jours après que le SPOC se trouve dans un cas d'indisponibilité les données visées à l'Article </w:t>
      </w:r>
      <w:r>
        <w:fldChar w:fldCharType="begin"/>
      </w:r>
      <w:r>
        <w:instrText xml:space="preserve"> REF _Ref143616891 \r \h </w:instrText>
      </w:r>
      <w:r>
        <w:fldChar w:fldCharType="separate"/>
      </w:r>
      <w:r>
        <w:t>7.3</w:t>
      </w:r>
      <w:r>
        <w:fldChar w:fldCharType="end"/>
      </w:r>
      <w:r>
        <w:t xml:space="preserve"> au Maître d'ouvrage, avec mention du délai pendant lequel un remplaçant provisoire est désigné. Le remplaçant provisoire du SPOC dispose des mêmes compétences que le SPOC et l'Adjudicataire confirme que le remplaçant provisoire du SPOC peut représenter l'Adjudicataire à toutes les fins et qu'il peut engager juridiquement l'Adjudicataire.</w:t>
      </w:r>
    </w:p>
    <w:p w14:paraId="35CDD24F" w14:textId="3C4DC8F7" w:rsidR="007E5FE0" w:rsidRDefault="007E5FE0" w:rsidP="007E5FE0">
      <w:pPr>
        <w:pStyle w:val="Titre3"/>
      </w:pPr>
      <w:bookmarkStart w:id="10" w:name="_Ref143692640"/>
      <w:bookmarkStart w:id="11" w:name="_Ref143692654"/>
      <w:bookmarkStart w:id="12" w:name="_Ref143692682"/>
      <w:bookmarkStart w:id="13" w:name="_Toc215498970"/>
      <w:r>
        <w:t>Obligation d'information et possibilité de contrôle</w:t>
      </w:r>
      <w:bookmarkEnd w:id="10"/>
      <w:bookmarkEnd w:id="11"/>
      <w:bookmarkEnd w:id="12"/>
      <w:bookmarkEnd w:id="13"/>
    </w:p>
    <w:p w14:paraId="3716B2D8" w14:textId="59C3B74E" w:rsidR="007E5FE0" w:rsidRDefault="007E5FE0" w:rsidP="00647374">
      <w:pPr>
        <w:pStyle w:val="Listenumros"/>
        <w:numPr>
          <w:ilvl w:val="3"/>
          <w:numId w:val="15"/>
        </w:numPr>
        <w:spacing w:after="160"/>
        <w:contextualSpacing w:val="0"/>
        <w:jc w:val="both"/>
      </w:pPr>
      <w:bookmarkStart w:id="14" w:name="_Ref143617202"/>
      <w:r>
        <w:t>L'Adjudicataire informe le Maître d'ouvrage régulièrement et, en tout cas, à la première demande du Maître d'ouvrage concernant l'évolution du Marché.</w:t>
      </w:r>
      <w:bookmarkEnd w:id="14"/>
      <w:r>
        <w:t xml:space="preserve"> </w:t>
      </w:r>
    </w:p>
    <w:p w14:paraId="68998312" w14:textId="7A552E60" w:rsidR="00C159D4" w:rsidRDefault="007E5FE0" w:rsidP="00C159D4">
      <w:pPr>
        <w:pStyle w:val="Listenumros"/>
        <w:numPr>
          <w:ilvl w:val="3"/>
          <w:numId w:val="15"/>
        </w:numPr>
        <w:spacing w:after="160"/>
        <w:contextualSpacing w:val="0"/>
        <w:jc w:val="both"/>
      </w:pPr>
      <w:bookmarkStart w:id="15" w:name="_Ref143617204"/>
      <w:r>
        <w:t>Pendant l'exécution du Contrat et sans s'immiscer dans les procédures internes de l'Adjudicataire, le Maître d'ouvrage a le droit de vérifier périodiquement si les prestations contractuelles sont exécutées conformément à ce qui est prévu dans le Contrat, le Guide d'attribution et l'Offre.</w:t>
      </w:r>
      <w:bookmarkEnd w:id="15"/>
    </w:p>
    <w:p w14:paraId="44ABE88A" w14:textId="1E562785" w:rsidR="00C159D4" w:rsidRDefault="00C159D4" w:rsidP="00C159D4">
      <w:pPr>
        <w:pStyle w:val="Listenumros"/>
        <w:numPr>
          <w:ilvl w:val="3"/>
          <w:numId w:val="15"/>
        </w:numPr>
        <w:spacing w:after="160"/>
        <w:contextualSpacing w:val="0"/>
        <w:jc w:val="both"/>
      </w:pPr>
      <w:r>
        <w:t>Le Maître d'ouvrage peut, à tout moment pendant l'exécution du Marché, procéder à des visites physiques dans les locaux de l'Adjudicataire, et ce après notification écrite préalable au moins vingt-quatre (24) heures avant la visite.</w:t>
      </w:r>
    </w:p>
    <w:p w14:paraId="559A3F8D" w14:textId="3AEF4575" w:rsidR="00C159D4" w:rsidRDefault="00C159D4" w:rsidP="00C159D4">
      <w:pPr>
        <w:pStyle w:val="Listenumros"/>
        <w:numPr>
          <w:ilvl w:val="3"/>
          <w:numId w:val="15"/>
        </w:numPr>
        <w:spacing w:after="160"/>
        <w:contextualSpacing w:val="0"/>
        <w:jc w:val="both"/>
      </w:pPr>
      <w:r>
        <w:t>Le Maître d'ouvrage peut, s'il estime que l'évolution du Marché n'est pas suffisamment garantie, mettre par écrit l'Adjudicataire en demeure et imposer des mesures pour que l'évolution du Marché soit garantie. L'Adjudicataire dispose d'un délai de quinze (15) jours pour se mettre en conformité.</w:t>
      </w:r>
    </w:p>
    <w:p w14:paraId="44843676" w14:textId="3179EC37" w:rsidR="006D377E" w:rsidRDefault="006D377E" w:rsidP="006D377E">
      <w:pPr>
        <w:pStyle w:val="Titre3"/>
      </w:pPr>
      <w:bookmarkStart w:id="16" w:name="_Ref143706008"/>
      <w:bookmarkStart w:id="17" w:name="_Ref143721147"/>
      <w:bookmarkStart w:id="18" w:name="_Toc215498971"/>
      <w:r>
        <w:t>Confidentialité</w:t>
      </w:r>
      <w:bookmarkEnd w:id="16"/>
      <w:bookmarkEnd w:id="17"/>
      <w:bookmarkEnd w:id="18"/>
    </w:p>
    <w:p w14:paraId="6640CDA7" w14:textId="10270BF4" w:rsidR="00664F22" w:rsidRDefault="006D377E" w:rsidP="00664F22">
      <w:pPr>
        <w:pStyle w:val="Listenumros"/>
        <w:numPr>
          <w:ilvl w:val="3"/>
          <w:numId w:val="15"/>
        </w:numPr>
        <w:spacing w:after="160"/>
        <w:contextualSpacing w:val="0"/>
        <w:jc w:val="both"/>
      </w:pPr>
      <w:bookmarkStart w:id="19" w:name="_Ref143620510"/>
      <w:bookmarkStart w:id="20" w:name="_Ref143700376"/>
      <w:r>
        <w:t>Les Parties veillent à ce que les Informations confidentielles restent confidentielles. Cette disposition s'applique pendant l'exécution du Contrat et jusqu'à quatre (4) ans après la fin du Contrat.</w:t>
      </w:r>
      <w:bookmarkEnd w:id="19"/>
      <w:r>
        <w:t xml:space="preserve"> Quatre (4) ans après la fin du Contrat, l'Adjudicataire détruira toutes les Informations confidentielles qu'il aura reçues du Maître d'ouvrage ou d'une autre partie intervenant au nom du Maître d'ouvrage dans le cadre de l'exécution du Marché.</w:t>
      </w:r>
      <w:bookmarkEnd w:id="20"/>
    </w:p>
    <w:p w14:paraId="0D329DBD" w14:textId="69693780" w:rsidR="00664F22" w:rsidRDefault="006D377E" w:rsidP="00664F22">
      <w:pPr>
        <w:pStyle w:val="Listenumros"/>
        <w:numPr>
          <w:ilvl w:val="3"/>
          <w:numId w:val="15"/>
        </w:numPr>
        <w:spacing w:after="160"/>
        <w:contextualSpacing w:val="0"/>
        <w:jc w:val="both"/>
      </w:pPr>
      <w:r>
        <w:t>Le Maître d'ouvrage peut communiquer des informations dans le cadre de ses obligations relatives à la publicité de l'administration.</w:t>
      </w:r>
    </w:p>
    <w:p w14:paraId="710480F2" w14:textId="4B60C5F9" w:rsidR="00664F22" w:rsidRDefault="00664F22" w:rsidP="00664F22">
      <w:pPr>
        <w:pStyle w:val="Listenumros"/>
        <w:numPr>
          <w:ilvl w:val="3"/>
          <w:numId w:val="15"/>
        </w:numPr>
        <w:spacing w:after="160"/>
        <w:contextualSpacing w:val="0"/>
        <w:jc w:val="both"/>
      </w:pPr>
      <w:r>
        <w:t xml:space="preserve">L'obligation reprise au point </w:t>
      </w:r>
      <w:r>
        <w:fldChar w:fldCharType="begin"/>
      </w:r>
      <w:r>
        <w:instrText xml:space="preserve"> REF _Ref143700376 \n \h </w:instrText>
      </w:r>
      <w:r>
        <w:fldChar w:fldCharType="separate"/>
      </w:r>
      <w:r>
        <w:t>9.1</w:t>
      </w:r>
      <w:r>
        <w:fldChar w:fldCharType="end"/>
      </w:r>
      <w:r>
        <w:t xml:space="preserve"> ne s'applique pas dans les cas suivants :</w:t>
      </w:r>
    </w:p>
    <w:p w14:paraId="5DA99ADD" w14:textId="1AFF35DF" w:rsidR="00664F22" w:rsidRDefault="00664F22" w:rsidP="00664F22">
      <w:pPr>
        <w:pStyle w:val="Listenumros"/>
        <w:numPr>
          <w:ilvl w:val="4"/>
          <w:numId w:val="15"/>
        </w:numPr>
        <w:spacing w:after="160"/>
        <w:contextualSpacing w:val="0"/>
        <w:jc w:val="both"/>
      </w:pPr>
      <w:bookmarkStart w:id="21" w:name="_Ref143700606"/>
      <w:r>
        <w:t>La Partie qui a communiqué les Informations confidentielles à l'autre Partie autorise la divulgation des Informations confidentielles ;</w:t>
      </w:r>
      <w:bookmarkEnd w:id="21"/>
    </w:p>
    <w:p w14:paraId="5EE1D629" w14:textId="63335EEC" w:rsidR="00664F22" w:rsidRDefault="00664F22" w:rsidP="00664F22">
      <w:pPr>
        <w:pStyle w:val="Listenumros"/>
        <w:numPr>
          <w:ilvl w:val="4"/>
          <w:numId w:val="15"/>
        </w:numPr>
        <w:spacing w:after="160"/>
        <w:contextualSpacing w:val="0"/>
        <w:jc w:val="both"/>
      </w:pPr>
      <w:bookmarkStart w:id="22" w:name="_Ref143700614"/>
      <w:r>
        <w:lastRenderedPageBreak/>
        <w:t>Les informations communiquées étaient déjà publiques ou avaient déjà été rendues publiques dans le passé ;</w:t>
      </w:r>
      <w:bookmarkEnd w:id="22"/>
    </w:p>
    <w:p w14:paraId="15D93E96" w14:textId="49193509" w:rsidR="00664F22" w:rsidRDefault="00664F22" w:rsidP="00664F22">
      <w:pPr>
        <w:pStyle w:val="Listenumros"/>
        <w:numPr>
          <w:ilvl w:val="4"/>
          <w:numId w:val="15"/>
        </w:numPr>
        <w:spacing w:after="160"/>
        <w:contextualSpacing w:val="0"/>
        <w:jc w:val="both"/>
      </w:pPr>
      <w:r>
        <w:t>Si l'une des Parties a besoin des Informations confidentielles pour se défendre de manière adéquate en justice. Dans ce cas, les Informations confidentielles sont aussi soumises de manière confidentielle à la juridiction compétente ;</w:t>
      </w:r>
    </w:p>
    <w:p w14:paraId="19212C0B" w14:textId="193B0A1A" w:rsidR="00664F22" w:rsidRDefault="00664F22" w:rsidP="00664F22">
      <w:pPr>
        <w:pStyle w:val="Listenumros"/>
        <w:numPr>
          <w:ilvl w:val="4"/>
          <w:numId w:val="15"/>
        </w:numPr>
        <w:spacing w:after="160"/>
        <w:contextualSpacing w:val="0"/>
        <w:jc w:val="both"/>
      </w:pPr>
      <w:r>
        <w:t>Si les Informations confidentielles doivent être divulguées en raison d'une disposition légale du droit belge ou européen ou suite à une injonction.</w:t>
      </w:r>
    </w:p>
    <w:p w14:paraId="7AF2CEC9" w14:textId="5CDEB7F9" w:rsidR="00664F22" w:rsidRDefault="00664F22" w:rsidP="00664F22">
      <w:pPr>
        <w:pStyle w:val="Listenumros"/>
        <w:numPr>
          <w:ilvl w:val="3"/>
          <w:numId w:val="15"/>
        </w:numPr>
        <w:spacing w:after="160"/>
        <w:contextualSpacing w:val="0"/>
        <w:jc w:val="both"/>
      </w:pPr>
      <w:r>
        <w:t xml:space="preserve">En ce qui concerne les cas prévus aux Articles </w:t>
      </w:r>
      <w:r>
        <w:fldChar w:fldCharType="begin"/>
      </w:r>
      <w:r>
        <w:instrText xml:space="preserve"> REF _Ref143700606 \n \h </w:instrText>
      </w:r>
      <w:r>
        <w:fldChar w:fldCharType="separate"/>
      </w:r>
      <w:r>
        <w:t>9.3.1</w:t>
      </w:r>
      <w:r>
        <w:fldChar w:fldCharType="end"/>
      </w:r>
      <w:r>
        <w:t xml:space="preserve"> et </w:t>
      </w:r>
      <w:r>
        <w:fldChar w:fldCharType="begin"/>
      </w:r>
      <w:r>
        <w:instrText xml:space="preserve"> REF _Ref143700614 \n \h </w:instrText>
      </w:r>
      <w:r>
        <w:fldChar w:fldCharType="separate"/>
      </w:r>
      <w:r>
        <w:t>9.3.2</w:t>
      </w:r>
      <w:r>
        <w:fldChar w:fldCharType="end"/>
      </w:r>
      <w:r>
        <w:t>, une Partie ne peut pas divulguer les Informations confidentielles s'il existe une obligation belge ou européenne sur la base de laquelle les Informations confidentielles en question doivent rester secrètes.</w:t>
      </w:r>
    </w:p>
    <w:p w14:paraId="2FA48CE4" w14:textId="38B9DD33" w:rsidR="009B3AF5" w:rsidRDefault="009B3AF5" w:rsidP="00664F22">
      <w:pPr>
        <w:pStyle w:val="Listenumros"/>
        <w:numPr>
          <w:ilvl w:val="3"/>
          <w:numId w:val="15"/>
        </w:numPr>
        <w:spacing w:after="160"/>
        <w:contextualSpacing w:val="0"/>
        <w:jc w:val="both"/>
      </w:pPr>
      <w:r>
        <w:t>L'Adjudicataire est entièrement responsable de l'exécution efficace par son personnel et ses Sous-traitants et s'engage à imposer les obligations prévues dans cet Article à toutes les personnes qui prennent directement ou indirectement connaissance d'Informations confidentielles dans le cadre de leur fonction.</w:t>
      </w:r>
    </w:p>
    <w:p w14:paraId="33F072BF" w14:textId="4BEA8000" w:rsidR="00F57B9A" w:rsidRDefault="00F57B9A" w:rsidP="00F57B9A">
      <w:pPr>
        <w:pStyle w:val="Titre3"/>
      </w:pPr>
      <w:bookmarkStart w:id="23" w:name="_Toc215498972"/>
      <w:r>
        <w:t>Sous-traitance</w:t>
      </w:r>
      <w:bookmarkEnd w:id="23"/>
    </w:p>
    <w:p w14:paraId="57B9C87C" w14:textId="6FDA1CCD" w:rsidR="00546330" w:rsidRDefault="00CA7595" w:rsidP="00647374">
      <w:pPr>
        <w:pStyle w:val="Listenumros"/>
        <w:numPr>
          <w:ilvl w:val="3"/>
          <w:numId w:val="15"/>
        </w:numPr>
        <w:spacing w:after="160"/>
        <w:contextualSpacing w:val="0"/>
        <w:jc w:val="both"/>
      </w:pPr>
      <w:r>
        <w:t>L'Adjudicataire peut recourir à des sous-traitants, notamment en application des articles 12 et suivants de l'AR Exécution, pour autant qu'il n'y soit pas dérogé dans le présent Article.</w:t>
      </w:r>
    </w:p>
    <w:p w14:paraId="013C0637" w14:textId="61526E84" w:rsidR="00C229ED" w:rsidRDefault="00C229ED" w:rsidP="00C229ED">
      <w:pPr>
        <w:pStyle w:val="Listenumros"/>
        <w:numPr>
          <w:ilvl w:val="3"/>
          <w:numId w:val="15"/>
        </w:numPr>
        <w:spacing w:after="160"/>
        <w:contextualSpacing w:val="0"/>
        <w:jc w:val="both"/>
      </w:pPr>
      <w:r>
        <w:t>L'Adjudicataire reste responsable de l'exécution du Marché vis-à-vis du Maître d'ouvrage, même s'il a recours à un ou plusieurs Sous-traitants. L'Adjudicataire est entièrement responsable vis-à-vis du Maître d'ouvrage des éventuels manquements et/ou fautes causés par un ou plusieurs de ses Sous-traitants.</w:t>
      </w:r>
    </w:p>
    <w:p w14:paraId="263308E7" w14:textId="7543CCE0" w:rsidR="00C229ED" w:rsidRDefault="00C229ED" w:rsidP="00C229ED">
      <w:pPr>
        <w:pStyle w:val="Listenumros"/>
        <w:numPr>
          <w:ilvl w:val="3"/>
          <w:numId w:val="15"/>
        </w:numPr>
        <w:spacing w:after="160"/>
        <w:contextualSpacing w:val="0"/>
        <w:jc w:val="both"/>
      </w:pPr>
      <w:r>
        <w:t>L'Adjudicataire veille à ce que les obligations reprises dans le présent Contrat soient transférées au Sous-traitant.</w:t>
      </w:r>
    </w:p>
    <w:p w14:paraId="5615E049" w14:textId="20196848" w:rsidR="00C229ED" w:rsidRDefault="00C229ED" w:rsidP="00647374">
      <w:pPr>
        <w:pStyle w:val="Listenumros"/>
        <w:numPr>
          <w:ilvl w:val="3"/>
          <w:numId w:val="15"/>
        </w:numPr>
        <w:spacing w:after="160"/>
        <w:contextualSpacing w:val="0"/>
        <w:jc w:val="both"/>
      </w:pPr>
      <w:r>
        <w:t>L'Adjudicataire ne peut désigner aucun Sous-traitant supplémentaire ni sous-traiter des tâches supplémentaires aux Sous-traitants désignés dans l'Offre, sauf autorisation écrite préalable du Maître d'ouvrage.</w:t>
      </w:r>
    </w:p>
    <w:p w14:paraId="108A279F" w14:textId="1B67F54C" w:rsidR="00FF1E5F" w:rsidRDefault="00FF1E5F" w:rsidP="00FF1E5F">
      <w:pPr>
        <w:pStyle w:val="Titre3"/>
      </w:pPr>
      <w:bookmarkStart w:id="24" w:name="_Ref143620531"/>
      <w:bookmarkStart w:id="25" w:name="_Toc215498973"/>
      <w:r>
        <w:t>Possibilité de résiliation</w:t>
      </w:r>
      <w:bookmarkEnd w:id="24"/>
      <w:bookmarkEnd w:id="25"/>
    </w:p>
    <w:p w14:paraId="0B349F3B" w14:textId="6A94C55D" w:rsidR="00F01958" w:rsidRDefault="00F01958" w:rsidP="00546330">
      <w:pPr>
        <w:pStyle w:val="Paragraphedeliste"/>
        <w:numPr>
          <w:ilvl w:val="3"/>
          <w:numId w:val="15"/>
        </w:numPr>
        <w:spacing w:after="160"/>
        <w:ind w:left="1702" w:hanging="1418"/>
        <w:contextualSpacing w:val="0"/>
        <w:jc w:val="both"/>
      </w:pPr>
      <w:r>
        <w:t xml:space="preserve">Le Maître d'ouvrage dispose toujours du droit de mettre fin au Contrat sans la moindre motivation, en tenant compte d'un délai de trois (3) mois. S'il est fait usage de cette possibilité de résiliation, le Maître d'ouvrage est uniquement tenu d'indemniser l'Adjudicataire pour les frais raisonnables encourus pour les obligations que l'Adjudicataire a dû exécuter et qui ne peuvent objectivement pas être annulés. Le Maître d'ouvrage n'est redevable d'aucune autre indemnité à l'Adjudicataire, ni à un éventuel Sous-traitant et/ou un tiers. </w:t>
      </w:r>
    </w:p>
    <w:p w14:paraId="4A4F3601" w14:textId="4D47BBE7" w:rsidR="00F01958" w:rsidRDefault="00F01958" w:rsidP="00546330">
      <w:pPr>
        <w:pStyle w:val="Paragraphedeliste"/>
        <w:numPr>
          <w:ilvl w:val="3"/>
          <w:numId w:val="15"/>
        </w:numPr>
        <w:spacing w:after="160"/>
        <w:ind w:left="1702" w:hanging="1418"/>
        <w:contextualSpacing w:val="0"/>
        <w:jc w:val="both"/>
      </w:pPr>
      <w:r>
        <w:lastRenderedPageBreak/>
        <w:t>L'Adjudicataire ne peut en aucun cas exiger la moindre indemnisation supplémentaire en vertu de l'article 1794 de l'ancien Code civil.</w:t>
      </w:r>
    </w:p>
    <w:p w14:paraId="303EDD75" w14:textId="762E8D95" w:rsidR="007111D0" w:rsidRPr="00F01958" w:rsidRDefault="007111D0" w:rsidP="00546330">
      <w:pPr>
        <w:pStyle w:val="Paragraphedeliste"/>
        <w:numPr>
          <w:ilvl w:val="3"/>
          <w:numId w:val="15"/>
        </w:numPr>
        <w:spacing w:after="160"/>
        <w:ind w:left="1702" w:hanging="1418"/>
        <w:contextualSpacing w:val="0"/>
        <w:jc w:val="both"/>
      </w:pPr>
      <w:r>
        <w:t>L'Adjudicataire n'a pas le droit de résilier le Contrat.</w:t>
      </w:r>
    </w:p>
    <w:p w14:paraId="095D6A53" w14:textId="2923637B" w:rsidR="0022478F" w:rsidRPr="008559CE" w:rsidRDefault="00FF1E5F" w:rsidP="0022478F">
      <w:pPr>
        <w:pStyle w:val="Titre3"/>
      </w:pPr>
      <w:bookmarkStart w:id="26" w:name="_Ref143620544"/>
      <w:bookmarkStart w:id="27" w:name="_Toc215498974"/>
      <w:r>
        <w:t>Dissolution</w:t>
      </w:r>
      <w:bookmarkEnd w:id="26"/>
      <w:bookmarkEnd w:id="27"/>
    </w:p>
    <w:p w14:paraId="5AFC1214" w14:textId="1F2A484D" w:rsidR="00792B0E" w:rsidRPr="008559CE" w:rsidRDefault="008559CE" w:rsidP="00792B0E">
      <w:pPr>
        <w:pStyle w:val="Listenumros"/>
        <w:numPr>
          <w:ilvl w:val="3"/>
          <w:numId w:val="15"/>
        </w:numPr>
        <w:spacing w:after="160"/>
        <w:contextualSpacing w:val="0"/>
        <w:jc w:val="both"/>
      </w:pPr>
      <w:bookmarkStart w:id="28" w:name="_Ref143706034"/>
      <w:r>
        <w:t>Sans préjudice de la possibilité de demander la dissolution en justice, le Maître d'ouvrage peut dissoudre le Contrat par voie extrajudiciaire, après avoir mis l'Adjudicataire en demeure et, le cas échéant, après que l'Adjudicataire n'y a pas donné de suite appropriée dans un délai raisonnable estimé à trente (30) jours, et ce dans les cas graves suivants :</w:t>
      </w:r>
      <w:bookmarkEnd w:id="28"/>
    </w:p>
    <w:p w14:paraId="4A66C390" w14:textId="1B3751D1" w:rsidR="00855928" w:rsidRPr="008559CE" w:rsidRDefault="00855928" w:rsidP="00792B0E">
      <w:pPr>
        <w:pStyle w:val="Listenumros"/>
        <w:numPr>
          <w:ilvl w:val="4"/>
          <w:numId w:val="15"/>
        </w:numPr>
        <w:spacing w:after="160"/>
        <w:contextualSpacing w:val="0"/>
        <w:jc w:val="both"/>
      </w:pPr>
      <w:r>
        <w:t>En cas de violation grave ou répétée ou de faute professionnelle grave par l'Adjudicataire, de sorte que le Maître d'ouvrage conclut que l'Adjudicataire n'est pas apte à satisfaire à ses obligations telles que décrites dans le Contrat ;</w:t>
      </w:r>
    </w:p>
    <w:p w14:paraId="6512F458" w14:textId="376080AA" w:rsidR="00792B0E" w:rsidRPr="008559CE" w:rsidRDefault="00855928" w:rsidP="00792B0E">
      <w:pPr>
        <w:pStyle w:val="Listenumros"/>
        <w:numPr>
          <w:ilvl w:val="4"/>
          <w:numId w:val="15"/>
        </w:numPr>
        <w:spacing w:after="160"/>
        <w:contextualSpacing w:val="0"/>
        <w:jc w:val="both"/>
      </w:pPr>
      <w:r>
        <w:t xml:space="preserve">Si l'Adjudicataire n'agit pas conformément à l'une des dispositions suivantes : </w:t>
      </w:r>
      <w:r w:rsidR="00FE3D0E" w:rsidRPr="008559CE">
        <w:fldChar w:fldCharType="begin"/>
      </w:r>
      <w:r w:rsidR="00FE3D0E" w:rsidRPr="008559CE">
        <w:instrText xml:space="preserve"> REF _Ref143706008 \n \h  \* MERGEFORMAT </w:instrText>
      </w:r>
      <w:r w:rsidR="00FE3D0E" w:rsidRPr="008559CE">
        <w:fldChar w:fldCharType="separate"/>
      </w:r>
      <w:r>
        <w:t>Article 9</w:t>
      </w:r>
      <w:r w:rsidR="00FE3D0E" w:rsidRPr="008559CE">
        <w:fldChar w:fldCharType="end"/>
      </w:r>
      <w:r>
        <w:t xml:space="preserve">, </w:t>
      </w:r>
      <w:r w:rsidR="00FE3D0E" w:rsidRPr="008559CE">
        <w:fldChar w:fldCharType="begin"/>
      </w:r>
      <w:r w:rsidR="00FE3D0E" w:rsidRPr="008559CE">
        <w:instrText xml:space="preserve"> REF _Ref143720578 \n \h  \* MERGEFORMAT </w:instrText>
      </w:r>
      <w:r w:rsidR="00FE3D0E" w:rsidRPr="008559CE">
        <w:fldChar w:fldCharType="separate"/>
      </w:r>
      <w:r>
        <w:t>Article 19</w:t>
      </w:r>
      <w:r w:rsidR="00FE3D0E" w:rsidRPr="008559CE">
        <w:fldChar w:fldCharType="end"/>
      </w:r>
      <w:r>
        <w:t xml:space="preserve">, Article </w:t>
      </w:r>
      <w:r w:rsidR="00FE3549" w:rsidRPr="008559CE">
        <w:fldChar w:fldCharType="begin"/>
      </w:r>
      <w:r w:rsidR="00FE3549" w:rsidRPr="008559CE">
        <w:instrText xml:space="preserve"> REF _Ref143719185 \n \h  \* MERGEFORMAT </w:instrText>
      </w:r>
      <w:r w:rsidR="00FE3549" w:rsidRPr="008559CE">
        <w:fldChar w:fldCharType="separate"/>
      </w:r>
      <w:r>
        <w:t>25.2</w:t>
      </w:r>
      <w:r w:rsidR="00FE3549" w:rsidRPr="008559CE">
        <w:fldChar w:fldCharType="end"/>
      </w:r>
      <w:r>
        <w:t>, Article</w:t>
      </w:r>
      <w:r w:rsidR="00DF233B">
        <w:t> </w:t>
      </w:r>
      <w:r w:rsidR="00FE3549" w:rsidRPr="008559CE">
        <w:fldChar w:fldCharType="begin"/>
      </w:r>
      <w:r w:rsidR="00FE3549" w:rsidRPr="008559CE">
        <w:instrText xml:space="preserve"> REF _Ref143719200 \n \h  \* MERGEFORMAT </w:instrText>
      </w:r>
      <w:r w:rsidR="00FE3549" w:rsidRPr="008559CE">
        <w:fldChar w:fldCharType="separate"/>
      </w:r>
      <w:r>
        <w:t>25.3</w:t>
      </w:r>
      <w:r w:rsidR="00FE3549" w:rsidRPr="008559CE">
        <w:fldChar w:fldCharType="end"/>
      </w:r>
      <w:r>
        <w:t xml:space="preserve">, Article </w:t>
      </w:r>
      <w:r w:rsidRPr="008559CE">
        <w:fldChar w:fldCharType="begin"/>
      </w:r>
      <w:r w:rsidRPr="008559CE">
        <w:instrText xml:space="preserve"> REF _Ref143719106 \n \h  \* MERGEFORMAT </w:instrText>
      </w:r>
      <w:r w:rsidRPr="008559CE">
        <w:fldChar w:fldCharType="separate"/>
      </w:r>
      <w:r>
        <w:t>25.4</w:t>
      </w:r>
      <w:r w:rsidRPr="008559CE">
        <w:fldChar w:fldCharType="end"/>
      </w:r>
      <w:r>
        <w:t xml:space="preserve">, Article </w:t>
      </w:r>
      <w:r w:rsidR="00BF094F" w:rsidRPr="008559CE">
        <w:fldChar w:fldCharType="begin"/>
      </w:r>
      <w:r w:rsidR="00BF094F" w:rsidRPr="008559CE">
        <w:instrText xml:space="preserve"> REF _Ref143720493 \n \h  \* MERGEFORMAT </w:instrText>
      </w:r>
      <w:r w:rsidR="00BF094F" w:rsidRPr="008559CE">
        <w:fldChar w:fldCharType="separate"/>
      </w:r>
      <w:r>
        <w:t>25.5</w:t>
      </w:r>
      <w:r w:rsidR="00BF094F" w:rsidRPr="008559CE">
        <w:fldChar w:fldCharType="end"/>
      </w:r>
      <w:r>
        <w:t xml:space="preserve"> et/ou </w:t>
      </w:r>
      <w:r w:rsidR="00BF094F" w:rsidRPr="008559CE">
        <w:fldChar w:fldCharType="begin"/>
      </w:r>
      <w:r w:rsidR="00BF094F" w:rsidRPr="008559CE">
        <w:instrText xml:space="preserve"> REF _Ref143720585 \n \h  \* MERGEFORMAT </w:instrText>
      </w:r>
      <w:r w:rsidR="00BF094F" w:rsidRPr="008559CE">
        <w:fldChar w:fldCharType="separate"/>
      </w:r>
      <w:r>
        <w:t>Article 26</w:t>
      </w:r>
      <w:r w:rsidR="00BF094F" w:rsidRPr="008559CE">
        <w:fldChar w:fldCharType="end"/>
      </w:r>
      <w:r>
        <w:t>.</w:t>
      </w:r>
    </w:p>
    <w:p w14:paraId="0877E9ED" w14:textId="6C337050" w:rsidR="007E2A27" w:rsidRPr="008559CE" w:rsidRDefault="000C0179" w:rsidP="00792B0E">
      <w:pPr>
        <w:pStyle w:val="Listenumros"/>
        <w:numPr>
          <w:ilvl w:val="4"/>
          <w:numId w:val="15"/>
        </w:numPr>
        <w:spacing w:after="160"/>
        <w:contextualSpacing w:val="0"/>
        <w:jc w:val="both"/>
      </w:pPr>
      <w:r>
        <w:t>Dans les cas prévus aux articles 62 et 62/1 de l'AR Exécution.</w:t>
      </w:r>
    </w:p>
    <w:p w14:paraId="76E4816D" w14:textId="5A307837" w:rsidR="007E2A27" w:rsidRPr="008559CE" w:rsidRDefault="007E2A27" w:rsidP="007E2A27">
      <w:pPr>
        <w:pStyle w:val="Listenumros"/>
        <w:numPr>
          <w:ilvl w:val="3"/>
          <w:numId w:val="15"/>
        </w:numPr>
        <w:spacing w:after="160"/>
        <w:contextualSpacing w:val="0"/>
        <w:jc w:val="both"/>
      </w:pPr>
      <w:r>
        <w:t xml:space="preserve">Dans les cas décrits à l'Article </w:t>
      </w:r>
      <w:r w:rsidRPr="008559CE">
        <w:fldChar w:fldCharType="begin"/>
      </w:r>
      <w:r w:rsidRPr="008559CE">
        <w:instrText xml:space="preserve"> REF _Ref143706034 \n \h  \* MERGEFORMAT </w:instrText>
      </w:r>
      <w:r w:rsidRPr="008559CE">
        <w:fldChar w:fldCharType="separate"/>
      </w:r>
      <w:r>
        <w:t>12.1</w:t>
      </w:r>
      <w:r w:rsidRPr="008559CE">
        <w:fldChar w:fldCharType="end"/>
      </w:r>
      <w:r>
        <w:t>, la dissolution s'opère à charge de l'Adjudicataire, à ses frais, et le Maître d'ouvrage se réserve le droit de réclamer une indemnisation à l'Adjudicataire pour les éventuels dommages causés. L'Adjudicataire est dans ce cas redevable d'une indemnité minimale s'élevant à dix pour cent (10 %) du montant du marché.</w:t>
      </w:r>
    </w:p>
    <w:p w14:paraId="7BA04DF3" w14:textId="33E5DCF6" w:rsidR="00FE3549" w:rsidRPr="008559CE" w:rsidRDefault="00FE3549" w:rsidP="00FE3549">
      <w:pPr>
        <w:pStyle w:val="Listenumros"/>
        <w:numPr>
          <w:ilvl w:val="3"/>
          <w:numId w:val="15"/>
        </w:numPr>
        <w:spacing w:after="160"/>
        <w:contextualSpacing w:val="0"/>
        <w:jc w:val="both"/>
      </w:pPr>
      <w:r>
        <w:t xml:space="preserve">La dissolution telle que prévue à l'Article </w:t>
      </w:r>
      <w:r w:rsidRPr="008559CE">
        <w:fldChar w:fldCharType="begin"/>
      </w:r>
      <w:r w:rsidRPr="008559CE">
        <w:instrText xml:space="preserve"> REF _Ref143706034 \n \h  \* MERGEFORMAT </w:instrText>
      </w:r>
      <w:r w:rsidRPr="008559CE">
        <w:fldChar w:fldCharType="separate"/>
      </w:r>
      <w:r>
        <w:t>12.1</w:t>
      </w:r>
      <w:r w:rsidRPr="008559CE">
        <w:fldChar w:fldCharType="end"/>
      </w:r>
      <w:r>
        <w:t xml:space="preserve"> a un effet immédiat, et ce à partir du moment où le Maître d'ouvrage informe l'Adjudicataire de la dissolution du Contrat.</w:t>
      </w:r>
    </w:p>
    <w:p w14:paraId="2909E6F4" w14:textId="0DB95850" w:rsidR="00BF094F" w:rsidRPr="008559CE" w:rsidRDefault="00BF094F" w:rsidP="00FE3549">
      <w:pPr>
        <w:pStyle w:val="Listenumros"/>
        <w:numPr>
          <w:ilvl w:val="3"/>
          <w:numId w:val="15"/>
        </w:numPr>
        <w:spacing w:after="160"/>
        <w:contextualSpacing w:val="0"/>
        <w:jc w:val="both"/>
      </w:pPr>
      <w:r>
        <w:t>Si un cas de Force majeure se présente et que son effet perdure pendant une période ininterrompue d'au moins soixante (60) jours, chacune des deux Parties a le droit de mettre fin au Contrat avec effet immédiat sans la moindre responsabilité pour l'une des deux Parties, sauf pour autant que l'apparition soit antérieure à la date à laquelle la résiliation du Contrat entre en vigueur.</w:t>
      </w:r>
    </w:p>
    <w:p w14:paraId="621A8910" w14:textId="77777777" w:rsidR="00730489" w:rsidRDefault="00730489" w:rsidP="00730489">
      <w:pPr>
        <w:pStyle w:val="Titre3"/>
      </w:pPr>
      <w:bookmarkStart w:id="29" w:name="_Toc215498975"/>
      <w:r>
        <w:t>Responsabilité</w:t>
      </w:r>
      <w:bookmarkEnd w:id="29"/>
    </w:p>
    <w:p w14:paraId="191CDF50" w14:textId="2ABD724E" w:rsidR="000D4962" w:rsidRDefault="00730489" w:rsidP="000D4962">
      <w:pPr>
        <w:pStyle w:val="Listenumros"/>
        <w:numPr>
          <w:ilvl w:val="3"/>
          <w:numId w:val="15"/>
        </w:numPr>
        <w:spacing w:after="160"/>
        <w:contextualSpacing w:val="0"/>
        <w:jc w:val="both"/>
      </w:pPr>
      <w:r>
        <w:t>L'Adjudicataire est responsable de tous les dommages qui pourraient résulter de l'exécution du Marché. Il est responsable aussi bien des dommages causés au Maître d'ouvrage qu'à des tiers, par lui ou par ses préposés, ses Sous-traitants et d'autres tiers avec lesquels il sous-traite. L'Adjudicataire préservera toujours le Maître d'ouvrage si ce dernier est interpelé pour un quelconque dommage qui serait apparu en lien avec l'exécution du Marché.</w:t>
      </w:r>
    </w:p>
    <w:p w14:paraId="50378FB8" w14:textId="5FF4C105" w:rsidR="00CA7595" w:rsidRDefault="000D4962" w:rsidP="00CA7595">
      <w:pPr>
        <w:pStyle w:val="Listenumros"/>
        <w:numPr>
          <w:ilvl w:val="3"/>
          <w:numId w:val="15"/>
        </w:numPr>
        <w:spacing w:after="160"/>
        <w:contextualSpacing w:val="0"/>
        <w:jc w:val="both"/>
      </w:pPr>
      <w:r>
        <w:lastRenderedPageBreak/>
        <w:t>En cas de litige menaçant sa responsabilité, l'Adjudicataire en informera le Maître d'ouvrage immédiatement et par écrit</w:t>
      </w:r>
      <w:r w:rsidRPr="00CA7595">
        <w:rPr>
          <w:color w:val="70AD47" w:themeColor="accent6"/>
        </w:rPr>
        <w:t>, en particulier si le litige porte sur les Droits de propriété intellectuelle et/ou les Résultats</w:t>
      </w:r>
      <w:r>
        <w:t>.</w:t>
      </w:r>
    </w:p>
    <w:p w14:paraId="7FC5168C" w14:textId="209DBB4A" w:rsidR="00CA7595" w:rsidRPr="00CA7595" w:rsidRDefault="2130BECD" w:rsidP="2130BECD">
      <w:pPr>
        <w:pStyle w:val="Listenumros"/>
        <w:spacing w:after="160"/>
        <w:ind w:left="1701"/>
        <w:jc w:val="both"/>
        <w:rPr>
          <w:color w:val="FF0000"/>
        </w:rPr>
      </w:pPr>
      <w:r>
        <w:rPr>
          <w:color w:val="FF0000"/>
        </w:rPr>
        <w:t xml:space="preserve">Les passages en vert ci-dessus et ci-dessous doivent être ajoutés si des Services de Recherche et de Développement sont aussi attribués dans le cadre du marché et que certains résultats doivent être présentés. </w:t>
      </w:r>
    </w:p>
    <w:p w14:paraId="373D9687" w14:textId="19EACE5F" w:rsidR="000D4962" w:rsidRDefault="000D4962" w:rsidP="000D4962">
      <w:pPr>
        <w:pStyle w:val="Listenumros"/>
        <w:numPr>
          <w:ilvl w:val="3"/>
          <w:numId w:val="15"/>
        </w:numPr>
        <w:spacing w:after="160"/>
        <w:contextualSpacing w:val="0"/>
        <w:jc w:val="both"/>
      </w:pPr>
      <w:r>
        <w:t xml:space="preserve">L'acceptation d'un certain service </w:t>
      </w:r>
      <w:r w:rsidRPr="00CA7595">
        <w:rPr>
          <w:color w:val="70AD47" w:themeColor="accent6"/>
        </w:rPr>
        <w:t>et/ou d'un certain Résultat</w:t>
      </w:r>
      <w:r>
        <w:t xml:space="preserve"> ne libère pas l'Adjudicataire de sa responsabilité.</w:t>
      </w:r>
    </w:p>
    <w:p w14:paraId="723E7BA6" w14:textId="29168DEE" w:rsidR="00730489" w:rsidRDefault="00730489" w:rsidP="00730489">
      <w:pPr>
        <w:pStyle w:val="Listenumros"/>
        <w:numPr>
          <w:ilvl w:val="3"/>
          <w:numId w:val="15"/>
        </w:numPr>
        <w:spacing w:after="160"/>
        <w:contextualSpacing w:val="0"/>
        <w:jc w:val="both"/>
      </w:pPr>
      <w:r>
        <w:t>L'Adjudicataire s'assure pour sa responsabilité. Le Maître d'ouvrage peut à tout moment demander à l'Adjudicataire de transmettre la preuve de son assurance.</w:t>
      </w:r>
    </w:p>
    <w:p w14:paraId="04CF991E" w14:textId="00040743" w:rsidR="008559CE" w:rsidRDefault="000C0179" w:rsidP="008559CE">
      <w:pPr>
        <w:pStyle w:val="Titre3"/>
      </w:pPr>
      <w:bookmarkStart w:id="30" w:name="_Toc215498976"/>
      <w:r>
        <w:t>Moyens d'action du Maître d'ouvrage</w:t>
      </w:r>
      <w:bookmarkEnd w:id="30"/>
    </w:p>
    <w:p w14:paraId="6B05B442" w14:textId="2EAE257E" w:rsidR="000C0179" w:rsidRDefault="008559CE" w:rsidP="000C0179">
      <w:pPr>
        <w:pStyle w:val="Listenumros"/>
        <w:numPr>
          <w:ilvl w:val="3"/>
          <w:numId w:val="15"/>
        </w:numPr>
        <w:spacing w:after="160"/>
        <w:contextualSpacing w:val="0"/>
        <w:jc w:val="both"/>
      </w:pPr>
      <w:r>
        <w:t>Le règlement tel que prévu aux articles 44 et suivants de l'AR Exécution s'applique intégralement au présent Marché. Les amendes pour retard et les mesures d'office prévues ailleurs dans l'AR Exécution sont aussi intégralement d'application.</w:t>
      </w:r>
    </w:p>
    <w:p w14:paraId="361627E7" w14:textId="1BC51189" w:rsidR="00730489" w:rsidRDefault="00730489" w:rsidP="00730489">
      <w:pPr>
        <w:pStyle w:val="Titre3"/>
      </w:pPr>
      <w:bookmarkStart w:id="31" w:name="_Ref153382828"/>
      <w:bookmarkStart w:id="32" w:name="_Toc215498977"/>
      <w:r>
        <w:t>Force majeure</w:t>
      </w:r>
      <w:bookmarkEnd w:id="31"/>
      <w:bookmarkEnd w:id="32"/>
    </w:p>
    <w:p w14:paraId="0B0588AF" w14:textId="3209079D" w:rsidR="00730489" w:rsidRDefault="00BF094F" w:rsidP="00730489">
      <w:pPr>
        <w:pStyle w:val="Listenumros"/>
        <w:numPr>
          <w:ilvl w:val="3"/>
          <w:numId w:val="15"/>
        </w:numPr>
        <w:spacing w:after="160"/>
        <w:contextualSpacing w:val="0"/>
        <w:jc w:val="both"/>
      </w:pPr>
      <w:r>
        <w:t>Si une Partie se trouve dans un cas de Force majeure, elle en informe immédiatement l'autre Partie par écrit, avec mention des particularités, dont le cas spécifique de Force majeure et la durée prévue de celui-ci ainsi que les éventuelles conséquences.</w:t>
      </w:r>
    </w:p>
    <w:p w14:paraId="09F52167" w14:textId="5DD8FD30" w:rsidR="00BF094F" w:rsidRDefault="00BF094F" w:rsidP="00730489">
      <w:pPr>
        <w:pStyle w:val="Listenumros"/>
        <w:numPr>
          <w:ilvl w:val="3"/>
          <w:numId w:val="15"/>
        </w:numPr>
        <w:spacing w:after="160"/>
        <w:contextualSpacing w:val="0"/>
        <w:jc w:val="both"/>
      </w:pPr>
      <w:r>
        <w:t>Une Partie qui se trouve dans un cas de Force majeure informe immédiatement l'autre Partie par écrit lorsque le cas de Force majeure a cessé d'exister.</w:t>
      </w:r>
    </w:p>
    <w:p w14:paraId="31B6CF77" w14:textId="400C48F9" w:rsidR="00BF094F" w:rsidRDefault="00BF094F" w:rsidP="00BF094F">
      <w:pPr>
        <w:pStyle w:val="Listenumros"/>
        <w:numPr>
          <w:ilvl w:val="3"/>
          <w:numId w:val="15"/>
        </w:numPr>
        <w:spacing w:after="160"/>
        <w:contextualSpacing w:val="0"/>
        <w:jc w:val="both"/>
      </w:pPr>
      <w:r>
        <w:t>La Partie soumise à la Force majeure sera déchargée (pour autant que l'autre Partie ait correctement été notifiée) pendant la durée de la Force majeure du respect de ses obligations pour autant que ce respect soit influencé par la Force majeure. Cette Partie fournira tous les efforts raisonnables pour limiter un maximum les conséquences de la Force majeure pour le Contrat.</w:t>
      </w:r>
    </w:p>
    <w:p w14:paraId="092799CD" w14:textId="3B39B2AB" w:rsidR="00BF094F" w:rsidRDefault="00BF094F" w:rsidP="00BF094F">
      <w:pPr>
        <w:pStyle w:val="Listenumros"/>
        <w:numPr>
          <w:ilvl w:val="3"/>
          <w:numId w:val="15"/>
        </w:numPr>
        <w:spacing w:after="160"/>
        <w:contextualSpacing w:val="0"/>
        <w:jc w:val="both"/>
      </w:pPr>
      <w:r>
        <w:t>Chaque Partie sera responsable de toutes les conséquences financières directes et indirectes qu'elle subit suite à ou en lien avec la Force majeure.</w:t>
      </w:r>
    </w:p>
    <w:p w14:paraId="443CE0DD" w14:textId="7422BAB3" w:rsidR="00CA7595" w:rsidRPr="00FE3D0E" w:rsidRDefault="005C5254" w:rsidP="00CA7595">
      <w:pPr>
        <w:pStyle w:val="Listenumros"/>
        <w:numPr>
          <w:ilvl w:val="3"/>
          <w:numId w:val="15"/>
        </w:numPr>
        <w:spacing w:after="160"/>
        <w:contextualSpacing w:val="0"/>
        <w:jc w:val="both"/>
      </w:pPr>
      <w:r>
        <w:t xml:space="preserve">Sauf application de l'Article </w:t>
      </w:r>
      <w:r w:rsidRPr="00FE3D0E">
        <w:fldChar w:fldCharType="begin"/>
      </w:r>
      <w:r w:rsidRPr="00FE3D0E">
        <w:instrText xml:space="preserve"> REF _Ref153370332 \r \h  \* MERGEFORMAT </w:instrText>
      </w:r>
      <w:r w:rsidRPr="00FE3D0E">
        <w:fldChar w:fldCharType="separate"/>
      </w:r>
      <w:r>
        <w:t>16.4.2</w:t>
      </w:r>
      <w:r w:rsidRPr="00FE3D0E">
        <w:fldChar w:fldCharType="end"/>
      </w:r>
      <w:r>
        <w:t>, l'apparition de la Force majeure n'accorde à aucune des Parties le droit à la moindre compensation ou au moindre paiement complémentaire.</w:t>
      </w:r>
    </w:p>
    <w:p w14:paraId="1EA3E09E" w14:textId="28EFD328" w:rsidR="00C600BF" w:rsidRPr="00FE3D0E" w:rsidRDefault="00C600BF" w:rsidP="00C600BF">
      <w:pPr>
        <w:pStyle w:val="Titre3"/>
      </w:pPr>
      <w:bookmarkStart w:id="33" w:name="_Ref153382861"/>
      <w:bookmarkStart w:id="34" w:name="_Toc215498978"/>
      <w:r>
        <w:t>Circonstances imprévisibles</w:t>
      </w:r>
      <w:bookmarkEnd w:id="33"/>
      <w:bookmarkEnd w:id="34"/>
    </w:p>
    <w:p w14:paraId="320C0E07" w14:textId="1373D9B5" w:rsidR="00C600BF" w:rsidRPr="00FE3D0E" w:rsidRDefault="00C600BF" w:rsidP="00CA7595">
      <w:pPr>
        <w:pStyle w:val="Listenumros"/>
        <w:numPr>
          <w:ilvl w:val="3"/>
          <w:numId w:val="15"/>
        </w:numPr>
        <w:spacing w:after="160"/>
        <w:contextualSpacing w:val="0"/>
        <w:jc w:val="both"/>
      </w:pPr>
      <w:r>
        <w:t>Le Marché peut être révisé lorsque l’équilibre contractuel du Marché est bouleversé au détriment de l’Adjudicataire par des circonstances quelconques auxquelles l'Adjudicataire est étranger.</w:t>
      </w:r>
    </w:p>
    <w:p w14:paraId="18A772FA" w14:textId="06301082" w:rsidR="00C600BF" w:rsidRPr="00FE3D0E" w:rsidRDefault="00CE6081" w:rsidP="00CA7595">
      <w:pPr>
        <w:pStyle w:val="Listenumros"/>
        <w:numPr>
          <w:ilvl w:val="3"/>
          <w:numId w:val="15"/>
        </w:numPr>
        <w:spacing w:after="160"/>
        <w:contextualSpacing w:val="0"/>
        <w:jc w:val="both"/>
      </w:pPr>
      <w:bookmarkStart w:id="35" w:name="_Ref153387418"/>
      <w:r>
        <w:t xml:space="preserve">Le Marché peut uniquement être révisé si l'Adjudicataire peut démontrer que la révision est devenue nécessaire à la suite de circonstances </w:t>
      </w:r>
      <w:r>
        <w:lastRenderedPageBreak/>
        <w:t>imprévisibles, à savoir de circonstances qui ne découlent pas d'un acte ou d'un manquement de l'Adjudicataire, qui ne pouvaient raisonnablement pas être prévues lors du dépôt de l'Offre, qui ne pouvaient pas être évitées et dont les conséquences ne pouvaient pas être réparées, bien que l'Adjudicataire ait fait tout le nécessaire à cet effet (les « Circonstances imprévisibles »).</w:t>
      </w:r>
      <w:bookmarkEnd w:id="35"/>
    </w:p>
    <w:p w14:paraId="2AE04B72" w14:textId="77777777" w:rsidR="00CE6081" w:rsidRPr="00FE3D0E" w:rsidRDefault="00CE6081" w:rsidP="00CE6081">
      <w:pPr>
        <w:pStyle w:val="Listenumros"/>
        <w:numPr>
          <w:ilvl w:val="3"/>
          <w:numId w:val="15"/>
        </w:numPr>
        <w:spacing w:after="160"/>
        <w:contextualSpacing w:val="0"/>
        <w:jc w:val="both"/>
      </w:pPr>
      <w:r>
        <w:t>L'Adjudicataire ne peut invoquer la défaillance d'un sous-traitant que pour autant que ce dernier puisse se prévaloir des circonstances que l'Adjudicataire aurait pu lui-même invoquer s'il avait été placé dans une situation analogue.</w:t>
      </w:r>
    </w:p>
    <w:p w14:paraId="17ABE1AF" w14:textId="77777777" w:rsidR="00CE6081" w:rsidRPr="00FE3D0E" w:rsidRDefault="00CE6081" w:rsidP="00CE6081">
      <w:pPr>
        <w:pStyle w:val="Listenumros"/>
        <w:numPr>
          <w:ilvl w:val="3"/>
          <w:numId w:val="15"/>
        </w:numPr>
        <w:spacing w:after="160"/>
        <w:contextualSpacing w:val="0"/>
        <w:jc w:val="both"/>
      </w:pPr>
      <w:r>
        <w:t>La révision peut consister en :</w:t>
      </w:r>
    </w:p>
    <w:p w14:paraId="7A9D5E4B" w14:textId="77777777" w:rsidR="00CE6081" w:rsidRPr="00FE3D0E" w:rsidRDefault="00CE6081" w:rsidP="00CE6081">
      <w:pPr>
        <w:pStyle w:val="Listenumros"/>
        <w:numPr>
          <w:ilvl w:val="4"/>
          <w:numId w:val="15"/>
        </w:numPr>
        <w:spacing w:after="160"/>
        <w:contextualSpacing w:val="0"/>
        <w:jc w:val="both"/>
      </w:pPr>
      <w:r>
        <w:t>soit une prolongation du Délai d’exécution ;</w:t>
      </w:r>
    </w:p>
    <w:p w14:paraId="13B834E9" w14:textId="77777777" w:rsidR="00CE6081" w:rsidRPr="00FE3D0E" w:rsidRDefault="00CE6081" w:rsidP="00CE6081">
      <w:pPr>
        <w:pStyle w:val="Listenumros"/>
        <w:numPr>
          <w:ilvl w:val="4"/>
          <w:numId w:val="15"/>
        </w:numPr>
        <w:spacing w:after="160"/>
        <w:contextualSpacing w:val="0"/>
        <w:jc w:val="both"/>
      </w:pPr>
      <w:bookmarkStart w:id="36" w:name="_Ref153370332"/>
      <w:r>
        <w:t>soit, lorsqu'il est question d'un préjudice très important, une autre forme de révision du Marché, en ce compris une compensation financière du préjudice très important ;</w:t>
      </w:r>
      <w:bookmarkEnd w:id="36"/>
    </w:p>
    <w:p w14:paraId="0ABEFD96" w14:textId="36EDF3D2" w:rsidR="00CE6081" w:rsidRPr="00FE3D0E" w:rsidRDefault="00CE6081" w:rsidP="00CE6081">
      <w:pPr>
        <w:pStyle w:val="Listenumros"/>
        <w:numPr>
          <w:ilvl w:val="4"/>
          <w:numId w:val="15"/>
        </w:numPr>
        <w:spacing w:after="160"/>
        <w:contextualSpacing w:val="0"/>
        <w:jc w:val="both"/>
      </w:pPr>
      <w:r>
        <w:t>soit la rupture du Marché (en cas de circonstances imprévues concernant le Marché).</w:t>
      </w:r>
    </w:p>
    <w:p w14:paraId="182A18F2" w14:textId="5DAFB3E8" w:rsidR="00CE6081" w:rsidRPr="00FE3D0E" w:rsidRDefault="00CE6081" w:rsidP="00CE6081">
      <w:pPr>
        <w:pStyle w:val="Listenumros"/>
        <w:numPr>
          <w:ilvl w:val="3"/>
          <w:numId w:val="15"/>
        </w:numPr>
        <w:spacing w:after="160"/>
        <w:contextualSpacing w:val="0"/>
        <w:jc w:val="both"/>
      </w:pPr>
      <w:r>
        <w:t>En cas de Circonstances imprévues, les conditions d'introduction des articles</w:t>
      </w:r>
      <w:r w:rsidR="00DF233B">
        <w:t> </w:t>
      </w:r>
      <w:r>
        <w:t>38/14 à 38/17 inclus de l'AR Exécution sont d'application.</w:t>
      </w:r>
    </w:p>
    <w:p w14:paraId="6E596B27" w14:textId="32583C0B" w:rsidR="00730489" w:rsidRPr="00FE3D0E" w:rsidRDefault="007C1E8F" w:rsidP="00730489">
      <w:pPr>
        <w:pStyle w:val="Titre3"/>
      </w:pPr>
      <w:bookmarkStart w:id="37" w:name="_Ref153382897"/>
      <w:bookmarkStart w:id="38" w:name="_Ref153382914"/>
      <w:bookmarkStart w:id="39" w:name="_Toc215498979"/>
      <w:r>
        <w:t>Modifications du Contrat</w:t>
      </w:r>
      <w:bookmarkEnd w:id="37"/>
      <w:bookmarkEnd w:id="38"/>
      <w:bookmarkEnd w:id="39"/>
    </w:p>
    <w:p w14:paraId="59B01CE3" w14:textId="5F654E03" w:rsidR="00A9148F" w:rsidRPr="00FE3D0E" w:rsidRDefault="008B4454" w:rsidP="00A9148F">
      <w:pPr>
        <w:pStyle w:val="Listenumros"/>
        <w:numPr>
          <w:ilvl w:val="3"/>
          <w:numId w:val="15"/>
        </w:numPr>
        <w:spacing w:after="160"/>
        <w:contextualSpacing w:val="0"/>
        <w:jc w:val="both"/>
      </w:pPr>
      <w:r>
        <w:t xml:space="preserve">Le Maître d'ouvrage et l'Adjudicataire peuvent, à l'initiative d'une des deux Parties, exclusivement à l'aide d'un accord écrit, apporter une modification au Contrat. La modification ne peut pas changer la nature générale du Marché et ne peut pas être substantielle, comme visé à l'article 38/6 </w:t>
      </w:r>
      <w:r w:rsidRPr="00DF233B">
        <w:t>AR</w:t>
      </w:r>
      <w:r w:rsidR="00DF233B">
        <w:t> </w:t>
      </w:r>
      <w:r w:rsidRPr="00DF233B">
        <w:t>Exécution</w:t>
      </w:r>
      <w:r>
        <w:t>, sauf disposition contraire dans l'AR Exécution.</w:t>
      </w:r>
    </w:p>
    <w:p w14:paraId="48C92400" w14:textId="1C5A926D" w:rsidR="008B4454" w:rsidRPr="00FE3D0E" w:rsidRDefault="008B4454" w:rsidP="00A9148F">
      <w:pPr>
        <w:pStyle w:val="Listenumros"/>
        <w:numPr>
          <w:ilvl w:val="3"/>
          <w:numId w:val="15"/>
        </w:numPr>
        <w:spacing w:after="160"/>
        <w:contextualSpacing w:val="0"/>
        <w:jc w:val="both"/>
      </w:pPr>
      <w:r>
        <w:t>Il n'est pas permis à l'Adjudicataire d'exécuter une modification proposée avant que les deux Parties aient signé un Addendum à propos de ladite modification.</w:t>
      </w:r>
    </w:p>
    <w:p w14:paraId="475DBD78" w14:textId="2B2AB00D" w:rsidR="00A9148F" w:rsidRPr="00FE3D0E" w:rsidRDefault="00A9148F" w:rsidP="00A9148F">
      <w:pPr>
        <w:pStyle w:val="Listenumros"/>
        <w:numPr>
          <w:ilvl w:val="3"/>
          <w:numId w:val="15"/>
        </w:numPr>
        <w:spacing w:after="160"/>
        <w:contextualSpacing w:val="0"/>
        <w:jc w:val="both"/>
      </w:pPr>
      <w:r>
        <w:t>Les Parties peuvent proposer des modifications à l'autre Partie pour modifier le Contrat.</w:t>
      </w:r>
    </w:p>
    <w:p w14:paraId="5598A786" w14:textId="7D889BAE" w:rsidR="00A9148F" w:rsidRPr="00FE3D0E" w:rsidRDefault="00A9148F" w:rsidP="00A9148F">
      <w:pPr>
        <w:pStyle w:val="Listenumros"/>
        <w:numPr>
          <w:ilvl w:val="4"/>
          <w:numId w:val="15"/>
        </w:numPr>
        <w:spacing w:after="160"/>
        <w:contextualSpacing w:val="0"/>
        <w:jc w:val="both"/>
      </w:pPr>
      <w:r>
        <w:t>Si la demande de modification émane du Maître d'ouvrage, l'Adjudicataire communiquera dans les dix (10) jours ouvrables une proposition de modification au Maître d'ouvrage, sauf si l'Adjudicataire rend plausible de manière motivée qu'il lui est impossible d'exécuter la modification proposée ou si la rédaction d'une proposition de modification engendrerait inévitablement des frais d'étude substantiels ou une prolongation du délai. Dans ce dernier cas, les Parties conviendront au préalable d'une indemnisation équitable de ces frais d'étude ou des coûts liés à la prolongation du délai, suite à quoi l'Adjudicataire rédigera la proposition de modification conformément à cette disposition.</w:t>
      </w:r>
    </w:p>
    <w:p w14:paraId="5216CD9B" w14:textId="38E85CDC" w:rsidR="00A9148F" w:rsidRPr="00FE3D0E" w:rsidRDefault="00A9148F" w:rsidP="00A9148F">
      <w:pPr>
        <w:pStyle w:val="Listenumros"/>
        <w:numPr>
          <w:ilvl w:val="4"/>
          <w:numId w:val="15"/>
        </w:numPr>
        <w:spacing w:after="160"/>
        <w:contextualSpacing w:val="0"/>
        <w:jc w:val="both"/>
      </w:pPr>
      <w:bookmarkStart w:id="40" w:name="_Ref153356500"/>
      <w:r>
        <w:lastRenderedPageBreak/>
        <w:t>Si la demande de modification émane de l'Adjudicataire, celui-ci transmettra la proposition de modification, qui comprendra les informations provisoires suivantes :</w:t>
      </w:r>
      <w:bookmarkEnd w:id="40"/>
    </w:p>
    <w:p w14:paraId="233A55A8" w14:textId="21188943" w:rsidR="00A9148F" w:rsidRPr="00FE3D0E" w:rsidRDefault="00A9148F" w:rsidP="00A9148F">
      <w:pPr>
        <w:pStyle w:val="Listenumros"/>
        <w:numPr>
          <w:ilvl w:val="5"/>
          <w:numId w:val="15"/>
        </w:numPr>
        <w:spacing w:after="160"/>
        <w:contextualSpacing w:val="0"/>
        <w:jc w:val="both"/>
      </w:pPr>
      <w:r>
        <w:t>Une description précise de la modification, indiquant notamment sur quelle partie du Marché porte la modification ;</w:t>
      </w:r>
    </w:p>
    <w:p w14:paraId="280422A0" w14:textId="6BC80BA9" w:rsidR="00A9148F" w:rsidRPr="00FE3D0E" w:rsidRDefault="00A9148F" w:rsidP="00A9148F">
      <w:pPr>
        <w:pStyle w:val="Listenumros"/>
        <w:numPr>
          <w:ilvl w:val="5"/>
          <w:numId w:val="15"/>
        </w:numPr>
        <w:spacing w:after="160"/>
        <w:contextualSpacing w:val="0"/>
        <w:jc w:val="both"/>
      </w:pPr>
      <w:r>
        <w:t>Un aperçu de la mesure dans laquelle la modification entraînera un retard de l'exécution du Marché si la modification a une influence sur le planning, avec un calendrier de l'exécution de la modification et l'explication des adaptations au planning de la suite du Marché</w:t>
      </w:r>
      <w:r w:rsidR="00DF233B">
        <w:t> ;</w:t>
      </w:r>
    </w:p>
    <w:p w14:paraId="0CBAA6C3" w14:textId="377A86BB" w:rsidR="006F1388" w:rsidRPr="00FE3D0E" w:rsidRDefault="006F1388" w:rsidP="00A9148F">
      <w:pPr>
        <w:pStyle w:val="Listenumros"/>
        <w:numPr>
          <w:ilvl w:val="5"/>
          <w:numId w:val="15"/>
        </w:numPr>
        <w:spacing w:after="160"/>
        <w:contextualSpacing w:val="0"/>
        <w:jc w:val="both"/>
      </w:pPr>
      <w:r>
        <w:t>L'ordre de grandeur estimé et autant que possible étayé des éventuelles conséquences financières (positives ou négatives) de la modification proposée ; et</w:t>
      </w:r>
    </w:p>
    <w:p w14:paraId="089D9256" w14:textId="228C5A24" w:rsidR="006F1388" w:rsidRPr="00FE3D0E" w:rsidRDefault="006F1388" w:rsidP="00A9148F">
      <w:pPr>
        <w:pStyle w:val="Listenumros"/>
        <w:numPr>
          <w:ilvl w:val="5"/>
          <w:numId w:val="15"/>
        </w:numPr>
        <w:spacing w:after="160"/>
        <w:contextualSpacing w:val="0"/>
        <w:jc w:val="both"/>
      </w:pPr>
      <w:r>
        <w:t>Toutes les autres informations dont le Maître d'ouvrage a raisonnablement besoin pour évaluer la demande de modification.</w:t>
      </w:r>
    </w:p>
    <w:p w14:paraId="1C893C1F" w14:textId="7858F27E" w:rsidR="007111D0" w:rsidRPr="00FE3D0E" w:rsidRDefault="006F1388" w:rsidP="007111D0">
      <w:pPr>
        <w:pStyle w:val="Listenumros"/>
        <w:numPr>
          <w:ilvl w:val="4"/>
          <w:numId w:val="15"/>
        </w:numPr>
        <w:spacing w:after="160"/>
        <w:contextualSpacing w:val="0"/>
        <w:jc w:val="both"/>
      </w:pPr>
      <w:bookmarkStart w:id="41" w:name="_Ref153356651"/>
      <w:r>
        <w:t xml:space="preserve">La proposition effectuée par l'Adjudicataire en application de l'Article </w:t>
      </w:r>
      <w:r w:rsidRPr="00FE3D0E">
        <w:fldChar w:fldCharType="begin"/>
      </w:r>
      <w:r w:rsidRPr="00FE3D0E">
        <w:instrText xml:space="preserve"> REF _Ref153356500 \r \h  \* MERGEFORMAT </w:instrText>
      </w:r>
      <w:r w:rsidRPr="00FE3D0E">
        <w:fldChar w:fldCharType="separate"/>
      </w:r>
      <w:r>
        <w:t>17.3.2</w:t>
      </w:r>
      <w:r w:rsidRPr="00FE3D0E">
        <w:fldChar w:fldCharType="end"/>
      </w:r>
      <w:r>
        <w:t xml:space="preserve"> est prise en compte par le Maître d'ouvrage. Le Maître d'ouvrage informera dans un délai de maximum vingt (20) Jours ouvrables à compter de la date d'introduction de la proposition de modification s'il est d'accord ou non avec la proposition de modification.</w:t>
      </w:r>
      <w:bookmarkEnd w:id="41"/>
    </w:p>
    <w:p w14:paraId="0DF941B9" w14:textId="4B126FAD" w:rsidR="007111D0" w:rsidRPr="00FE3D0E" w:rsidRDefault="007111D0" w:rsidP="007111D0">
      <w:pPr>
        <w:pStyle w:val="Listenumros"/>
        <w:numPr>
          <w:ilvl w:val="4"/>
          <w:numId w:val="15"/>
        </w:numPr>
        <w:spacing w:after="160"/>
        <w:contextualSpacing w:val="0"/>
        <w:jc w:val="both"/>
      </w:pPr>
      <w:r>
        <w:t xml:space="preserve">Le délai mentionné à l'Article </w:t>
      </w:r>
      <w:r w:rsidRPr="00FE3D0E">
        <w:fldChar w:fldCharType="begin"/>
      </w:r>
      <w:r w:rsidRPr="00FE3D0E">
        <w:instrText xml:space="preserve"> REF _Ref153356651 \r \h  \* MERGEFORMAT </w:instrText>
      </w:r>
      <w:r w:rsidRPr="00FE3D0E">
        <w:fldChar w:fldCharType="separate"/>
      </w:r>
      <w:r>
        <w:t>17.3.3</w:t>
      </w:r>
      <w:r w:rsidRPr="00FE3D0E">
        <w:fldChar w:fldCharType="end"/>
      </w:r>
      <w:r>
        <w:t xml:space="preserve"> est réputé ne jamais avoir commencé si la proposition soumise par l'Adjudicataire ne répond pas aux conditions reprises à l'Article </w:t>
      </w:r>
      <w:r w:rsidRPr="00FE3D0E">
        <w:fldChar w:fldCharType="begin"/>
      </w:r>
      <w:r w:rsidRPr="00FE3D0E">
        <w:instrText xml:space="preserve"> REF _Ref153356500 \r \h  \* MERGEFORMAT </w:instrText>
      </w:r>
      <w:r w:rsidRPr="00FE3D0E">
        <w:fldChar w:fldCharType="separate"/>
      </w:r>
      <w:r>
        <w:t>17.3.2</w:t>
      </w:r>
      <w:r w:rsidRPr="00FE3D0E">
        <w:fldChar w:fldCharType="end"/>
      </w:r>
      <w:r>
        <w:t>.</w:t>
      </w:r>
    </w:p>
    <w:p w14:paraId="293DDF16" w14:textId="1A438D23" w:rsidR="007111D0" w:rsidRPr="00FE3D0E" w:rsidRDefault="007111D0" w:rsidP="007111D0">
      <w:pPr>
        <w:pStyle w:val="Listenumros"/>
        <w:numPr>
          <w:ilvl w:val="4"/>
          <w:numId w:val="15"/>
        </w:numPr>
        <w:spacing w:after="160"/>
        <w:contextualSpacing w:val="0"/>
        <w:jc w:val="both"/>
      </w:pPr>
      <w:r>
        <w:t xml:space="preserve">Le délai mentionné à l'Article </w:t>
      </w:r>
      <w:r w:rsidRPr="00FE3D0E">
        <w:fldChar w:fldCharType="begin"/>
      </w:r>
      <w:r w:rsidRPr="00FE3D0E">
        <w:instrText xml:space="preserve"> REF _Ref153356651 \r \h  \* MERGEFORMAT </w:instrText>
      </w:r>
      <w:r w:rsidRPr="00FE3D0E">
        <w:fldChar w:fldCharType="separate"/>
      </w:r>
      <w:r>
        <w:t>17.3.3</w:t>
      </w:r>
      <w:r w:rsidRPr="00FE3D0E">
        <w:fldChar w:fldCharType="end"/>
      </w:r>
      <w:r>
        <w:t xml:space="preserve"> est interrompu si le Maître d'ouvrage demande plus d'informations à l'Adjudicataire.</w:t>
      </w:r>
    </w:p>
    <w:p w14:paraId="57A554B5" w14:textId="4AA7F3FB" w:rsidR="007111D0" w:rsidRPr="00FE3D0E" w:rsidRDefault="007111D0" w:rsidP="007111D0">
      <w:pPr>
        <w:pStyle w:val="Listenumros"/>
        <w:numPr>
          <w:ilvl w:val="4"/>
          <w:numId w:val="15"/>
        </w:numPr>
        <w:spacing w:after="160"/>
        <w:contextualSpacing w:val="0"/>
        <w:jc w:val="both"/>
      </w:pPr>
      <w:r>
        <w:t xml:space="preserve">Si le délai repris à l'Article </w:t>
      </w:r>
      <w:r w:rsidRPr="00FE3D0E">
        <w:fldChar w:fldCharType="begin"/>
      </w:r>
      <w:r w:rsidRPr="00FE3D0E">
        <w:instrText xml:space="preserve"> REF _Ref153356651 \r \h  \* MERGEFORMAT </w:instrText>
      </w:r>
      <w:r w:rsidRPr="00FE3D0E">
        <w:fldChar w:fldCharType="separate"/>
      </w:r>
      <w:r>
        <w:t>17.3.3</w:t>
      </w:r>
      <w:r w:rsidRPr="00FE3D0E">
        <w:fldChar w:fldCharType="end"/>
      </w:r>
      <w:r>
        <w:t xml:space="preserve"> expire sans que le Maître d'ouvrage ait expressément accepté la proposition de modification, la proposition de modification est considérée refusée par le Maître d'ouvrage.</w:t>
      </w:r>
    </w:p>
    <w:p w14:paraId="6621A3F8" w14:textId="2DE42FB4" w:rsidR="007111D0" w:rsidRPr="00FE3D0E" w:rsidRDefault="007111D0" w:rsidP="007111D0">
      <w:pPr>
        <w:pStyle w:val="Listenumros"/>
        <w:numPr>
          <w:ilvl w:val="3"/>
          <w:numId w:val="15"/>
        </w:numPr>
        <w:spacing w:after="160"/>
        <w:contextualSpacing w:val="0"/>
        <w:jc w:val="both"/>
      </w:pPr>
      <w:r>
        <w:t>Une modification sera formalisée dans un Addendum.</w:t>
      </w:r>
    </w:p>
    <w:p w14:paraId="6FEE66DA" w14:textId="3B17493D" w:rsidR="00A9148F" w:rsidRPr="00FE3D0E" w:rsidRDefault="007111D0" w:rsidP="00863C50">
      <w:pPr>
        <w:pStyle w:val="Listenumros"/>
        <w:numPr>
          <w:ilvl w:val="3"/>
          <w:numId w:val="15"/>
        </w:numPr>
        <w:spacing w:after="160"/>
        <w:contextualSpacing w:val="0"/>
        <w:jc w:val="both"/>
      </w:pPr>
      <w:r>
        <w:t>Le Maître d'ouvrage n'est en aucun cas responsable du moindre dommage ou de la moindre conséquence négative de ou en lien avec (l'exécution et le résultat d') une modification émanant de l'Adjudicataire. Si la modification émane du Maître d'ouvrage, ce dernier sera responsable et assumera les conséquences néfastes de la modification et indemnisera l'Adjudicataire pour autant que celui-ci ait indiqué au préalable, expressément et par écrit, les conséquences de cette modification ou les conséquences qui découlent de Circonstances imprévues. La disposition susmentionnée s'applique sans préjudice d'une disposition contraire dans le Contrat.</w:t>
      </w:r>
    </w:p>
    <w:p w14:paraId="5ABCFB4D" w14:textId="5F369C32" w:rsidR="00CA7595" w:rsidRPr="00FE3D0E" w:rsidRDefault="00CA7595" w:rsidP="00CA7595">
      <w:pPr>
        <w:pStyle w:val="Titre3"/>
      </w:pPr>
      <w:bookmarkStart w:id="42" w:name="_Toc215498980"/>
      <w:r>
        <w:lastRenderedPageBreak/>
        <w:t>Transférabilité</w:t>
      </w:r>
      <w:bookmarkEnd w:id="42"/>
    </w:p>
    <w:p w14:paraId="57436FF8" w14:textId="541592DA" w:rsidR="006177DE" w:rsidRPr="00FE3D0E" w:rsidRDefault="00CA7595" w:rsidP="006177DE">
      <w:pPr>
        <w:pStyle w:val="Listenumros"/>
        <w:numPr>
          <w:ilvl w:val="3"/>
          <w:numId w:val="15"/>
        </w:numPr>
        <w:spacing w:after="160"/>
        <w:contextualSpacing w:val="0"/>
        <w:jc w:val="both"/>
      </w:pPr>
      <w:r>
        <w:t>L'Adjudicataire ne peut pas transférer le Contrat, sauf autorisation préalable, écrite et expresse du Maître d'ouvrage. Le Marché ne peut en tout cas être transféré que si le repreneur satisfait aux conditions de sélection applicables définies dans le Guide d'attribution. En tout cas, en cas de transfert éventuel, toutes les obligations de l'Adjudicataire (d'origine) passeront entièrement et de manière indivisible au repreneur. En l'absence d'un accord contraire, l'Adjudicataire reste avec le repreneur solidairement tenu à tous les engagements découlant du Contrat.</w:t>
      </w:r>
    </w:p>
    <w:p w14:paraId="771B5FBE" w14:textId="29DFE69C" w:rsidR="006177DE" w:rsidRPr="00FE3D0E" w:rsidRDefault="006177DE" w:rsidP="006177DE">
      <w:pPr>
        <w:pStyle w:val="Listenumros"/>
        <w:numPr>
          <w:ilvl w:val="3"/>
          <w:numId w:val="15"/>
        </w:numPr>
        <w:spacing w:after="160"/>
        <w:contextualSpacing w:val="0"/>
        <w:jc w:val="both"/>
      </w:pPr>
      <w:r>
        <w:t>Le Maître d'ouvrage peut transférer le Contrat dans les possibilités prévues dans la Loi sur les marchés publics et d'autres Réglementations. Dans ce cas, le Maître d'ouvrage initial est solidairement tenu avec le repreneur de payer les indemnités dues à l'Adjudicataire qui datent d'avant le transfert et des coûts encourus en exécution du Contrat qui n'étaient pas encore payés par le Maître d'ouvrage initial au moment du transfert.</w:t>
      </w:r>
    </w:p>
    <w:p w14:paraId="2B1AD1EE" w14:textId="77777777" w:rsidR="006177DE" w:rsidRPr="00FE3D0E" w:rsidRDefault="006177DE" w:rsidP="006177DE">
      <w:pPr>
        <w:pStyle w:val="Titre3"/>
      </w:pPr>
      <w:bookmarkStart w:id="43" w:name="_Ref143720578"/>
      <w:bookmarkStart w:id="44" w:name="_Toc215498981"/>
      <w:r>
        <w:t>Traitement des données à caractère personnel</w:t>
      </w:r>
      <w:bookmarkEnd w:id="43"/>
      <w:bookmarkEnd w:id="44"/>
    </w:p>
    <w:p w14:paraId="3EF45D5F" w14:textId="657BDE2F" w:rsidR="006177DE" w:rsidRPr="00FE3D0E" w:rsidRDefault="006177DE" w:rsidP="006177DE">
      <w:pPr>
        <w:pStyle w:val="Listenumros"/>
        <w:numPr>
          <w:ilvl w:val="3"/>
          <w:numId w:val="15"/>
        </w:numPr>
        <w:spacing w:after="160"/>
        <w:contextualSpacing w:val="0"/>
        <w:jc w:val="both"/>
      </w:pPr>
      <w:r>
        <w:t xml:space="preserve">Les parties s'engagent à traiter les données à caractère personnel conformément aux dispositions de la réglementation européenne ainsi que de la Loi du 30 juillet 2018 relative à la protection des personnes physiques à l'égard des traitements de données à caractère personnel, </w:t>
      </w:r>
      <w:r w:rsidRPr="00FE3D0E">
        <w:rPr>
          <w:i/>
          <w:iCs/>
        </w:rPr>
        <w:t>MB</w:t>
      </w:r>
      <w:r w:rsidR="00DF233B">
        <w:t> </w:t>
      </w:r>
      <w:r>
        <w:t>5</w:t>
      </w:r>
      <w:r w:rsidR="00DF233B">
        <w:t> </w:t>
      </w:r>
      <w:r>
        <w:t>septembre 2018.</w:t>
      </w:r>
    </w:p>
    <w:p w14:paraId="3FAECB0C" w14:textId="77777777" w:rsidR="006177DE" w:rsidRPr="00FE3D0E" w:rsidRDefault="006177DE" w:rsidP="006177DE">
      <w:pPr>
        <w:pStyle w:val="Listenumros"/>
        <w:numPr>
          <w:ilvl w:val="3"/>
          <w:numId w:val="15"/>
        </w:numPr>
        <w:spacing w:after="160"/>
        <w:contextualSpacing w:val="0"/>
        <w:jc w:val="both"/>
      </w:pPr>
      <w:r>
        <w:t>L'Adjudicataire s'engage à ce que seuls les membres du personnel qui exécutent le Marché aient accès aux données à caractère personnel qui sont traitées, sont partagées dans le cadre de l'exécution du Marché. L'Adjudicataire impose également cette obligation aux Sous-traitants auxquels il fait appel.</w:t>
      </w:r>
    </w:p>
    <w:p w14:paraId="1CD5F05F" w14:textId="706FE3D8" w:rsidR="006177DE" w:rsidRPr="00FE3D0E" w:rsidRDefault="006177DE" w:rsidP="006177DE">
      <w:pPr>
        <w:pStyle w:val="Listenumros"/>
        <w:numPr>
          <w:ilvl w:val="3"/>
          <w:numId w:val="15"/>
        </w:numPr>
        <w:spacing w:after="160"/>
        <w:contextualSpacing w:val="0"/>
        <w:jc w:val="both"/>
      </w:pPr>
      <w:r>
        <w:t>L'Adjudicataire tient un registre dans lequel il enregistre qui a eu accès aux données à caractère personnel traitées, partagées dans le cadre de l'exécution du Marché.</w:t>
      </w:r>
    </w:p>
    <w:p w14:paraId="2A2F9A9A" w14:textId="58DFC9B0" w:rsidR="00546330" w:rsidRPr="00FE3D0E" w:rsidRDefault="00546330" w:rsidP="00546330">
      <w:pPr>
        <w:pStyle w:val="Titre3"/>
      </w:pPr>
      <w:bookmarkStart w:id="45" w:name="_Toc215498982"/>
      <w:r>
        <w:t>Nu</w:t>
      </w:r>
      <w:r w:rsidR="00DF233B">
        <w:t>l</w:t>
      </w:r>
      <w:r>
        <w:t>lité</w:t>
      </w:r>
      <w:bookmarkEnd w:id="45"/>
    </w:p>
    <w:p w14:paraId="391DB318" w14:textId="7ED1FCE5" w:rsidR="000C4EA1" w:rsidRPr="00FE3D0E" w:rsidRDefault="000C4EA1" w:rsidP="000C4EA1">
      <w:pPr>
        <w:pStyle w:val="Listenumros"/>
        <w:numPr>
          <w:ilvl w:val="3"/>
          <w:numId w:val="15"/>
        </w:numPr>
        <w:spacing w:after="160"/>
        <w:contextualSpacing w:val="0"/>
        <w:jc w:val="both"/>
      </w:pPr>
      <w:r>
        <w:t>L'éventuelle nullité d'un</w:t>
      </w:r>
      <w:r w:rsidR="00DF233B">
        <w:t>e</w:t>
      </w:r>
      <w:r>
        <w:t xml:space="preserve"> des dispositions du Contrat n'aura aucune influence sur la validité des autres clauses, malgré la nullité de la clause contestée. </w:t>
      </w:r>
    </w:p>
    <w:p w14:paraId="7BEDB79C" w14:textId="0DB377BC" w:rsidR="000C4EA1" w:rsidRPr="00FE3D0E" w:rsidRDefault="000C4EA1" w:rsidP="000C4EA1">
      <w:pPr>
        <w:pStyle w:val="Listenumros"/>
        <w:numPr>
          <w:ilvl w:val="3"/>
          <w:numId w:val="15"/>
        </w:numPr>
        <w:spacing w:after="160"/>
        <w:contextualSpacing w:val="0"/>
        <w:jc w:val="both"/>
      </w:pPr>
      <w:r>
        <w:t>Les Parties mettront tout en œuvre pour remplacer de commun accord la clause nulle par une clause valable ayant le même ou pratiquement le même impact économique que la clause nulle.</w:t>
      </w:r>
    </w:p>
    <w:p w14:paraId="009AB470" w14:textId="6DAA750D" w:rsidR="006177DE" w:rsidRPr="00FE3D0E" w:rsidRDefault="006177DE" w:rsidP="006177DE">
      <w:pPr>
        <w:pStyle w:val="Titre3"/>
      </w:pPr>
      <w:bookmarkStart w:id="46" w:name="_Toc215498983"/>
      <w:r>
        <w:t>Élection de domicile</w:t>
      </w:r>
      <w:bookmarkEnd w:id="46"/>
    </w:p>
    <w:p w14:paraId="7234A533" w14:textId="26C4E9E2" w:rsidR="006177DE" w:rsidRPr="00FE3D0E" w:rsidRDefault="006177DE" w:rsidP="000C4EA1">
      <w:pPr>
        <w:pStyle w:val="Listenumros"/>
        <w:numPr>
          <w:ilvl w:val="3"/>
          <w:numId w:val="15"/>
        </w:numPr>
        <w:spacing w:after="160"/>
        <w:contextualSpacing w:val="0"/>
        <w:jc w:val="both"/>
      </w:pPr>
      <w:r>
        <w:t>Chaque Partie fait élection de domicile à son siège social. Si le siège social n'est plus situé en Belgique, la Partie concernée communiquera une adresse de correspondance située en Belgique.</w:t>
      </w:r>
    </w:p>
    <w:p w14:paraId="556683BC" w14:textId="429178D0" w:rsidR="006177DE" w:rsidRPr="00FE3D0E" w:rsidRDefault="006177DE" w:rsidP="006177DE">
      <w:pPr>
        <w:pStyle w:val="Listenumros"/>
        <w:numPr>
          <w:ilvl w:val="3"/>
          <w:numId w:val="15"/>
        </w:numPr>
        <w:spacing w:after="160"/>
        <w:contextualSpacing w:val="0"/>
        <w:jc w:val="both"/>
      </w:pPr>
      <w:r>
        <w:lastRenderedPageBreak/>
        <w:t>Les Parties communiqueront en tout cas tout changement d'adresse immédiatement et par écrit. Une Partie est considérée comme remplissant ses obligations en vertu du présent Contrat lorsqu'elle envoie ses communications à l'ancienne adresse et que l'autre Partie n'a pas communiqué son changement d'adresse.</w:t>
      </w:r>
    </w:p>
    <w:p w14:paraId="685FD363" w14:textId="77777777" w:rsidR="00F070FF" w:rsidRPr="00FE3D0E" w:rsidRDefault="00F070FF" w:rsidP="00F070FF">
      <w:pPr>
        <w:pStyle w:val="Titre3"/>
      </w:pPr>
      <w:bookmarkStart w:id="47" w:name="_Toc215498984"/>
      <w:r>
        <w:t>Droit applicable</w:t>
      </w:r>
      <w:bookmarkEnd w:id="47"/>
    </w:p>
    <w:p w14:paraId="3F3D7513" w14:textId="2D83834B" w:rsidR="00F070FF" w:rsidRPr="00FE3D0E" w:rsidRDefault="00F070FF" w:rsidP="00647374">
      <w:pPr>
        <w:pStyle w:val="Listenumros"/>
        <w:numPr>
          <w:ilvl w:val="3"/>
          <w:numId w:val="15"/>
        </w:numPr>
        <w:spacing w:after="160"/>
        <w:contextualSpacing w:val="0"/>
        <w:jc w:val="both"/>
      </w:pPr>
      <w:r>
        <w:t>Le présent Contrat est régi par le droit belge.</w:t>
      </w:r>
    </w:p>
    <w:p w14:paraId="1C5C2932" w14:textId="794E6AA8" w:rsidR="00F070FF" w:rsidRPr="00FE3D0E" w:rsidRDefault="00326431" w:rsidP="00647374">
      <w:pPr>
        <w:pStyle w:val="Listenumros"/>
        <w:numPr>
          <w:ilvl w:val="3"/>
          <w:numId w:val="15"/>
        </w:numPr>
        <w:spacing w:after="160"/>
        <w:contextualSpacing w:val="0"/>
        <w:jc w:val="both"/>
      </w:pPr>
      <w:r>
        <w:t>Les tribunaux compétents pour l'exécution du Marché sont les tribunaux civils de l'arrondissement judiciaire de Bruxelles.</w:t>
      </w:r>
    </w:p>
    <w:p w14:paraId="0BFE1A47" w14:textId="0AA0652D" w:rsidR="006D3C53" w:rsidRPr="006D3C53" w:rsidRDefault="2130BECD" w:rsidP="006D3C53">
      <w:pPr>
        <w:pStyle w:val="Titre1"/>
        <w:jc w:val="both"/>
        <w:rPr>
          <w:color w:val="70AD47" w:themeColor="accent6"/>
        </w:rPr>
      </w:pPr>
      <w:bookmarkStart w:id="48" w:name="_Toc215498985"/>
      <w:r>
        <w:rPr>
          <w:color w:val="70AD47" w:themeColor="accent6"/>
        </w:rPr>
        <w:t>Dispositions spécifiques concernant les Services de Recherche et de Développement</w:t>
      </w:r>
      <w:bookmarkEnd w:id="48"/>
    </w:p>
    <w:p w14:paraId="060799D0" w14:textId="53999543" w:rsidR="00350629" w:rsidRDefault="2130BECD" w:rsidP="006D3C53">
      <w:pPr>
        <w:jc w:val="both"/>
        <w:rPr>
          <w:color w:val="FF0000"/>
        </w:rPr>
      </w:pPr>
      <w:r>
        <w:rPr>
          <w:color w:val="FF0000"/>
        </w:rPr>
        <w:t>Ce chapitre reprend les dispositions relatives aux Services de Recherche et de Développement qui font l'objet ou non du marché public tel qu'il a été lancé sur le marché. S'il s'avère que le marché ne comporte pas de Services de Recherche et de Développement, ce chapitre peut être supprimé.</w:t>
      </w:r>
    </w:p>
    <w:p w14:paraId="2B3B7162" w14:textId="1315D800" w:rsidR="00350629" w:rsidRDefault="00350629" w:rsidP="006D3C53">
      <w:pPr>
        <w:jc w:val="both"/>
        <w:rPr>
          <w:color w:val="FF0000"/>
        </w:rPr>
      </w:pPr>
    </w:p>
    <w:p w14:paraId="1714CBAD" w14:textId="3383001E" w:rsidR="00350629" w:rsidRDefault="2130BECD" w:rsidP="006D3C53">
      <w:pPr>
        <w:jc w:val="both"/>
        <w:rPr>
          <w:color w:val="FF0000"/>
        </w:rPr>
      </w:pPr>
      <w:r>
        <w:rPr>
          <w:color w:val="FF0000"/>
        </w:rPr>
        <w:t>Notons pour information que si la partie Services de Recherche et de Développement est suivie d'une partie livraisons, on peut par exemple travailler avec des parties fixes et provisoires, comme indiqué à l'article 57 de la Loi sur les marchés publics.</w:t>
      </w:r>
    </w:p>
    <w:p w14:paraId="7871353E" w14:textId="66BD9864" w:rsidR="00F26BE8" w:rsidRPr="00FE3D0E" w:rsidRDefault="2130BECD" w:rsidP="00F26BE8">
      <w:pPr>
        <w:pStyle w:val="Titre2"/>
        <w:rPr>
          <w:color w:val="70AD47" w:themeColor="accent6"/>
        </w:rPr>
      </w:pPr>
      <w:bookmarkStart w:id="49" w:name="_Toc215498986"/>
      <w:r>
        <w:rPr>
          <w:color w:val="70AD47" w:themeColor="accent6"/>
        </w:rPr>
        <w:t>Description des Services de Recherche et de Développement</w:t>
      </w:r>
      <w:bookmarkEnd w:id="49"/>
    </w:p>
    <w:p w14:paraId="57286C73" w14:textId="239D88F3" w:rsidR="006D3C53" w:rsidRPr="00FE3D0E" w:rsidRDefault="00F26BE8" w:rsidP="006D3C53">
      <w:pPr>
        <w:pStyle w:val="Titre3"/>
        <w:rPr>
          <w:color w:val="70AD47" w:themeColor="accent6"/>
        </w:rPr>
      </w:pPr>
      <w:bookmarkStart w:id="50" w:name="_Toc215498987"/>
      <w:r>
        <w:rPr>
          <w:color w:val="70AD47" w:themeColor="accent6"/>
        </w:rPr>
        <w:t>Services de Recherche et de Développement</w:t>
      </w:r>
      <w:bookmarkEnd w:id="50"/>
    </w:p>
    <w:p w14:paraId="3294FDD1" w14:textId="09F82A44" w:rsidR="00872023" w:rsidRPr="00FE3D0E" w:rsidRDefault="00F26BE8" w:rsidP="00872023">
      <w:pPr>
        <w:pStyle w:val="Listenumros"/>
        <w:numPr>
          <w:ilvl w:val="3"/>
          <w:numId w:val="15"/>
        </w:numPr>
        <w:spacing w:after="160"/>
        <w:contextualSpacing w:val="0"/>
        <w:jc w:val="both"/>
        <w:rPr>
          <w:color w:val="70AD47" w:themeColor="accent6"/>
        </w:rPr>
      </w:pPr>
      <w:r>
        <w:rPr>
          <w:color w:val="70AD47" w:themeColor="accent6"/>
        </w:rPr>
        <w:t xml:space="preserve">L'Adjudicataire doit exécuter certains Services de Recherche et de Développement pour ce Marché. Les Services de Recherche et de Développement à exécuter par l'Adjudicataire sont décrits de manière plus détaillée dans le Guide d'attribution et dans l'Offre. </w:t>
      </w:r>
    </w:p>
    <w:p w14:paraId="7EAC103C" w14:textId="2F452C79" w:rsidR="006A3522" w:rsidRPr="00FE3D0E" w:rsidRDefault="006A3522" w:rsidP="00F26BE8">
      <w:pPr>
        <w:pStyle w:val="Listenumros"/>
        <w:numPr>
          <w:ilvl w:val="3"/>
          <w:numId w:val="15"/>
        </w:numPr>
        <w:spacing w:after="160"/>
        <w:contextualSpacing w:val="0"/>
        <w:jc w:val="both"/>
        <w:rPr>
          <w:color w:val="70AD47" w:themeColor="accent6"/>
        </w:rPr>
      </w:pPr>
      <w:r>
        <w:rPr>
          <w:color w:val="70AD47" w:themeColor="accent6"/>
        </w:rPr>
        <w:t>Certains objectifs sont fixés dans le Guide d'attribution pour les Services de Recherche et de Développement. L'Adjudicataire s'engage à fournir les efforts nécessaires pour atteindre ces objectifs.</w:t>
      </w:r>
    </w:p>
    <w:p w14:paraId="35CB87CE" w14:textId="4BDA5FDB" w:rsidR="0012005E" w:rsidRPr="00FE3D0E" w:rsidRDefault="0012005E" w:rsidP="0012005E">
      <w:pPr>
        <w:pStyle w:val="Titre3"/>
        <w:rPr>
          <w:color w:val="70AD47" w:themeColor="accent6"/>
        </w:rPr>
      </w:pPr>
      <w:bookmarkStart w:id="51" w:name="_Toc215498988"/>
      <w:r>
        <w:rPr>
          <w:color w:val="70AD47" w:themeColor="accent6"/>
        </w:rPr>
        <w:t>Jalons et Livrables</w:t>
      </w:r>
      <w:bookmarkEnd w:id="51"/>
    </w:p>
    <w:p w14:paraId="67F123F1" w14:textId="35E7724B" w:rsidR="0012005E" w:rsidRPr="00FE3D0E" w:rsidRDefault="0012005E" w:rsidP="0012005E">
      <w:pPr>
        <w:pStyle w:val="Listenumros"/>
        <w:numPr>
          <w:ilvl w:val="3"/>
          <w:numId w:val="27"/>
        </w:numPr>
        <w:spacing w:after="160"/>
        <w:contextualSpacing w:val="0"/>
        <w:jc w:val="both"/>
        <w:rPr>
          <w:color w:val="70AD47" w:themeColor="accent6"/>
        </w:rPr>
      </w:pPr>
      <w:r>
        <w:rPr>
          <w:color w:val="70AD47" w:themeColor="accent6"/>
        </w:rPr>
        <w:t>Une liste des Livrables à fournir et des Jalons à atteindre est jointe en tant qu'</w:t>
      </w:r>
      <w:r w:rsidR="00C911DA" w:rsidRPr="00C911DA">
        <w:rPr>
          <w:color w:val="70AD47" w:themeColor="accent6"/>
        </w:rPr>
        <w:fldChar w:fldCharType="begin"/>
      </w:r>
      <w:r w:rsidR="00C911DA" w:rsidRPr="00C911DA">
        <w:rPr>
          <w:color w:val="70AD47" w:themeColor="accent6"/>
        </w:rPr>
        <w:instrText xml:space="preserve"> REF _Ref153384706 \h </w:instrText>
      </w:r>
      <w:r w:rsidR="00C911DA" w:rsidRPr="00C911DA">
        <w:rPr>
          <w:color w:val="70AD47" w:themeColor="accent6"/>
        </w:rPr>
      </w:r>
      <w:r w:rsidR="00C911DA" w:rsidRPr="00C911DA">
        <w:rPr>
          <w:color w:val="70AD47" w:themeColor="accent6"/>
        </w:rPr>
        <w:fldChar w:fldCharType="separate"/>
      </w:r>
      <w:r>
        <w:rPr>
          <w:color w:val="70AD47" w:themeColor="accent6"/>
        </w:rPr>
        <w:t>Annexe 2 - Services de Recherche et de Développement - Livrables et Jalons</w:t>
      </w:r>
      <w:r w:rsidR="00C911DA" w:rsidRPr="00C911DA">
        <w:rPr>
          <w:color w:val="70AD47" w:themeColor="accent6"/>
        </w:rPr>
        <w:fldChar w:fldCharType="end"/>
      </w:r>
      <w:r>
        <w:rPr>
          <w:color w:val="70AD47" w:themeColor="accent6"/>
        </w:rPr>
        <w:t xml:space="preserve"> au présent Contrat avec leur calendrier respectif. En tout cas, les Services de Recherche et de Développement doivent être terminés à la Date de fin.</w:t>
      </w:r>
    </w:p>
    <w:p w14:paraId="057393CD" w14:textId="61A86D52" w:rsidR="0071094D" w:rsidRPr="00FE3D0E" w:rsidRDefault="2130BECD" w:rsidP="0071094D">
      <w:pPr>
        <w:pStyle w:val="Titre2"/>
        <w:rPr>
          <w:color w:val="70AD47" w:themeColor="accent6"/>
        </w:rPr>
      </w:pPr>
      <w:bookmarkStart w:id="52" w:name="_Toc215498989"/>
      <w:r>
        <w:rPr>
          <w:color w:val="70AD47" w:themeColor="accent6"/>
        </w:rPr>
        <w:t>Exécution des Services de Recherche et de Développement</w:t>
      </w:r>
      <w:bookmarkEnd w:id="52"/>
    </w:p>
    <w:p w14:paraId="49301D80" w14:textId="1699E15F" w:rsidR="004E251B" w:rsidRPr="00FE3D0E" w:rsidRDefault="2130BECD" w:rsidP="004E251B">
      <w:pPr>
        <w:pStyle w:val="Titre3"/>
        <w:rPr>
          <w:color w:val="70AD47" w:themeColor="accent6"/>
        </w:rPr>
      </w:pPr>
      <w:bookmarkStart w:id="53" w:name="_Toc215498990"/>
      <w:r>
        <w:rPr>
          <w:color w:val="70AD47" w:themeColor="accent6"/>
        </w:rPr>
        <w:t>Exécution des Services de Recherche et de Développement</w:t>
      </w:r>
      <w:bookmarkEnd w:id="53"/>
    </w:p>
    <w:p w14:paraId="595FA3FE" w14:textId="68FB3A69" w:rsidR="0012005E" w:rsidRPr="00FE3D0E" w:rsidRDefault="0012005E" w:rsidP="004E251B">
      <w:pPr>
        <w:pStyle w:val="Listenumros"/>
        <w:numPr>
          <w:ilvl w:val="3"/>
          <w:numId w:val="15"/>
        </w:numPr>
        <w:spacing w:after="160"/>
        <w:contextualSpacing w:val="0"/>
        <w:jc w:val="both"/>
        <w:rPr>
          <w:color w:val="70AD47" w:themeColor="accent6"/>
        </w:rPr>
      </w:pPr>
      <w:r>
        <w:rPr>
          <w:color w:val="70AD47" w:themeColor="accent6"/>
        </w:rPr>
        <w:t>L'Adjudicataire est responsable de l'exécution des Services de Recherche et de Développement.</w:t>
      </w:r>
    </w:p>
    <w:p w14:paraId="55A7F7CD" w14:textId="28AE0194" w:rsidR="0012005E" w:rsidRPr="00FE3D0E" w:rsidRDefault="0012005E" w:rsidP="0012005E">
      <w:pPr>
        <w:pStyle w:val="Listenumros"/>
        <w:numPr>
          <w:ilvl w:val="3"/>
          <w:numId w:val="15"/>
        </w:numPr>
        <w:spacing w:after="160"/>
        <w:contextualSpacing w:val="0"/>
        <w:jc w:val="both"/>
        <w:rPr>
          <w:color w:val="70AD47" w:themeColor="accent6"/>
        </w:rPr>
      </w:pPr>
      <w:bookmarkStart w:id="54" w:name="_Ref143719185"/>
      <w:r>
        <w:rPr>
          <w:color w:val="70AD47" w:themeColor="accent6"/>
        </w:rPr>
        <w:lastRenderedPageBreak/>
        <w:t>L'Adjudicataire s'engage à exécuter le Marché conformément à la réglementation relative à l'aide d'État, comme celle-ci est notamment concrétisée dans la Communication de la Commission européenne du 27</w:t>
      </w:r>
      <w:r w:rsidR="00DF233B">
        <w:rPr>
          <w:color w:val="70AD47" w:themeColor="accent6"/>
        </w:rPr>
        <w:t> </w:t>
      </w:r>
      <w:r>
        <w:rPr>
          <w:color w:val="70AD47" w:themeColor="accent6"/>
        </w:rPr>
        <w:t>juin 2014 « Encadrement des aides d’État à la recherche, au développement et à l’innovation ».</w:t>
      </w:r>
      <w:bookmarkEnd w:id="54"/>
    </w:p>
    <w:p w14:paraId="27DA625E" w14:textId="4CDF4709" w:rsidR="0012005E" w:rsidRPr="00FE3D0E" w:rsidRDefault="0012005E" w:rsidP="0012005E">
      <w:pPr>
        <w:pStyle w:val="Listenumros"/>
        <w:numPr>
          <w:ilvl w:val="3"/>
          <w:numId w:val="15"/>
        </w:numPr>
        <w:spacing w:after="160"/>
        <w:contextualSpacing w:val="0"/>
        <w:jc w:val="both"/>
        <w:rPr>
          <w:color w:val="70AD47" w:themeColor="accent6"/>
        </w:rPr>
      </w:pPr>
      <w:bookmarkStart w:id="55" w:name="_Ref143719200"/>
      <w:r>
        <w:rPr>
          <w:color w:val="70AD47" w:themeColor="accent6"/>
        </w:rPr>
        <w:t xml:space="preserve">L'Adjudicataire s'engage à soumettre les Livrables demandés à temps. La soumission en temps voulu des Livrables demandés constitue un élément essentiel du Contrat. Si un Livrable faisant l'objet de ce Contrat est livré en retard, sans qu'il soit question de la moindre cause de Force majeure, le Maître d'ouvrage pourra invoquer la possibilité de résiliation prévue à </w:t>
      </w:r>
      <w:r w:rsidR="00F83DB7">
        <w:rPr>
          <w:color w:val="70AD47" w:themeColor="accent6"/>
        </w:rPr>
        <w:fldChar w:fldCharType="begin"/>
      </w:r>
      <w:r w:rsidR="00F83DB7">
        <w:rPr>
          <w:color w:val="70AD47" w:themeColor="accent6"/>
        </w:rPr>
        <w:instrText xml:space="preserve"> REF _Ref143620531 \n \h </w:instrText>
      </w:r>
      <w:r w:rsidR="00F83DB7">
        <w:rPr>
          <w:color w:val="70AD47" w:themeColor="accent6"/>
        </w:rPr>
      </w:r>
      <w:r w:rsidR="00F83DB7">
        <w:rPr>
          <w:color w:val="70AD47" w:themeColor="accent6"/>
        </w:rPr>
        <w:fldChar w:fldCharType="separate"/>
      </w:r>
      <w:r>
        <w:rPr>
          <w:color w:val="70AD47" w:themeColor="accent6"/>
        </w:rPr>
        <w:t>l'Article 11</w:t>
      </w:r>
      <w:r w:rsidR="00F83DB7">
        <w:rPr>
          <w:color w:val="70AD47" w:themeColor="accent6"/>
        </w:rPr>
        <w:fldChar w:fldCharType="end"/>
      </w:r>
      <w:r>
        <w:rPr>
          <w:color w:val="70AD47" w:themeColor="accent6"/>
        </w:rPr>
        <w:t xml:space="preserve"> du présent </w:t>
      </w:r>
      <w:bookmarkEnd w:id="55"/>
      <w:r>
        <w:rPr>
          <w:color w:val="70AD47" w:themeColor="accent6"/>
        </w:rPr>
        <w:t xml:space="preserve">Contrat, sans préjudice de la possibilité d'invoquer la dissolution du Contrat à charge de l'Adjudicataire comme prévu à </w:t>
      </w:r>
      <w:r w:rsidR="00F83DB7">
        <w:rPr>
          <w:color w:val="70AD47" w:themeColor="accent6"/>
        </w:rPr>
        <w:fldChar w:fldCharType="begin"/>
      </w:r>
      <w:r w:rsidR="00F83DB7">
        <w:rPr>
          <w:color w:val="70AD47" w:themeColor="accent6"/>
        </w:rPr>
        <w:instrText xml:space="preserve"> REF _Ref143620544 \n \h </w:instrText>
      </w:r>
      <w:r w:rsidR="00F83DB7">
        <w:rPr>
          <w:color w:val="70AD47" w:themeColor="accent6"/>
        </w:rPr>
      </w:r>
      <w:r w:rsidR="00F83DB7">
        <w:rPr>
          <w:color w:val="70AD47" w:themeColor="accent6"/>
        </w:rPr>
        <w:fldChar w:fldCharType="separate"/>
      </w:r>
      <w:r>
        <w:rPr>
          <w:color w:val="70AD47" w:themeColor="accent6"/>
        </w:rPr>
        <w:t>l'Article</w:t>
      </w:r>
      <w:r w:rsidR="00DF233B">
        <w:rPr>
          <w:color w:val="70AD47" w:themeColor="accent6"/>
        </w:rPr>
        <w:t> </w:t>
      </w:r>
      <w:r>
        <w:rPr>
          <w:color w:val="70AD47" w:themeColor="accent6"/>
        </w:rPr>
        <w:t>12</w:t>
      </w:r>
      <w:r w:rsidR="00F83DB7">
        <w:rPr>
          <w:color w:val="70AD47" w:themeColor="accent6"/>
        </w:rPr>
        <w:fldChar w:fldCharType="end"/>
      </w:r>
      <w:r>
        <w:rPr>
          <w:color w:val="70AD47" w:themeColor="accent6"/>
        </w:rPr>
        <w:t>.</w:t>
      </w:r>
    </w:p>
    <w:p w14:paraId="7FFC8364" w14:textId="56249365" w:rsidR="0012005E" w:rsidRPr="00FE3D0E" w:rsidRDefault="0012005E" w:rsidP="0012005E">
      <w:pPr>
        <w:pStyle w:val="Listenumros"/>
        <w:numPr>
          <w:ilvl w:val="3"/>
          <w:numId w:val="15"/>
        </w:numPr>
        <w:spacing w:after="160"/>
        <w:contextualSpacing w:val="0"/>
        <w:jc w:val="both"/>
        <w:rPr>
          <w:color w:val="70AD47" w:themeColor="accent6"/>
        </w:rPr>
      </w:pPr>
      <w:bookmarkStart w:id="56" w:name="_Ref143719106"/>
      <w:r>
        <w:rPr>
          <w:color w:val="70AD47" w:themeColor="accent6"/>
        </w:rPr>
        <w:t xml:space="preserve">L'Adjudicataire s'engage à ce que les services exécutés dans le cadre du présent Marché réponde aux exigences en matière de services de recherche et de développement comme décrit dans la dernière version du Manuel de Frascati (OCDE, 2015), </w:t>
      </w:r>
      <w:r w:rsidRPr="00FE3D0E">
        <w:rPr>
          <w:i/>
          <w:iCs/>
          <w:color w:val="70AD47" w:themeColor="accent6"/>
        </w:rPr>
        <w:t>Manuel de Frascati 2015 Lignes directrices pour le recueil et la communication des données sur la recherche et le développement expérimental</w:t>
      </w:r>
      <w:r>
        <w:rPr>
          <w:color w:val="70AD47" w:themeColor="accent6"/>
        </w:rPr>
        <w:t xml:space="preserve">, Mesurer les activités scientifiques, technologiques et d'innovation, OECD Publishing, Paris, </w:t>
      </w:r>
      <w:hyperlink r:id="rId11" w:history="1">
        <w:r>
          <w:rPr>
            <w:rStyle w:val="Lienhypertexte"/>
            <w:color w:val="70AD47" w:themeColor="accent6"/>
          </w:rPr>
          <w:t>https://www.oecd.org/fr/publications/manuel-de-frascati-2015_9789264257252-fr.html</w:t>
        </w:r>
      </w:hyperlink>
      <w:r>
        <w:rPr>
          <w:color w:val="70AD47" w:themeColor="accent6"/>
        </w:rPr>
        <w:t>) et, le cas échéant, dans les annexes les plus récentes.</w:t>
      </w:r>
      <w:bookmarkEnd w:id="56"/>
    </w:p>
    <w:p w14:paraId="15498BF7" w14:textId="5C0A1F9E" w:rsidR="0012005E" w:rsidRPr="00FE3D0E" w:rsidRDefault="0012005E" w:rsidP="0012005E">
      <w:pPr>
        <w:pStyle w:val="Listenumros"/>
        <w:numPr>
          <w:ilvl w:val="3"/>
          <w:numId w:val="15"/>
        </w:numPr>
        <w:spacing w:after="160"/>
        <w:contextualSpacing w:val="0"/>
        <w:jc w:val="both"/>
        <w:rPr>
          <w:i/>
          <w:iCs/>
          <w:color w:val="70AD47" w:themeColor="accent6"/>
        </w:rPr>
      </w:pPr>
      <w:bookmarkStart w:id="57" w:name="_Ref143720493"/>
      <w:r>
        <w:rPr>
          <w:color w:val="70AD47" w:themeColor="accent6"/>
        </w:rPr>
        <w:t xml:space="preserve">L'Adjudicataire s'engage à se comporter selon les dispositions décrites dans l'ALLEA (2023), </w:t>
      </w:r>
      <w:r w:rsidRPr="00FE3D0E">
        <w:rPr>
          <w:i/>
          <w:iCs/>
          <w:color w:val="70AD47" w:themeColor="accent6"/>
        </w:rPr>
        <w:t>The European Code of Conduct for Research Integrity – Revised Edition 2023</w:t>
      </w:r>
      <w:r>
        <w:rPr>
          <w:color w:val="70AD47" w:themeColor="accent6"/>
        </w:rPr>
        <w:t xml:space="preserve">, Berlin, </w:t>
      </w:r>
      <w:hyperlink r:id="rId12" w:history="1">
        <w:r>
          <w:rPr>
            <w:rStyle w:val="Lienhypertexte"/>
            <w:color w:val="70AD47" w:themeColor="accent6"/>
          </w:rPr>
          <w:t>http://www.doi.org/10.26356/ECOC</w:t>
        </w:r>
      </w:hyperlink>
      <w:r>
        <w:rPr>
          <w:color w:val="70AD47" w:themeColor="accent6"/>
        </w:rPr>
        <w:t>.</w:t>
      </w:r>
      <w:bookmarkEnd w:id="57"/>
      <w:r>
        <w:rPr>
          <w:color w:val="70AD47" w:themeColor="accent6"/>
        </w:rPr>
        <w:t xml:space="preserve"> </w:t>
      </w:r>
    </w:p>
    <w:p w14:paraId="286C1680" w14:textId="53B8A46D" w:rsidR="0012005E" w:rsidRPr="00FE3D0E" w:rsidRDefault="0012005E" w:rsidP="0012005E">
      <w:pPr>
        <w:pStyle w:val="Listenumros"/>
        <w:numPr>
          <w:ilvl w:val="3"/>
          <w:numId w:val="15"/>
        </w:numPr>
        <w:spacing w:after="160"/>
        <w:contextualSpacing w:val="0"/>
        <w:jc w:val="both"/>
        <w:rPr>
          <w:color w:val="70AD47" w:themeColor="accent6"/>
        </w:rPr>
      </w:pPr>
      <w:r>
        <w:rPr>
          <w:color w:val="70AD47" w:themeColor="accent6"/>
        </w:rPr>
        <w:t>L'Adjudicataire est responsable de la moindre erreur et/ou préoccupation qui pourrait émaner des informations qu'il transmet dans le cadre du présent Marché.</w:t>
      </w:r>
    </w:p>
    <w:p w14:paraId="73E1B75B" w14:textId="721EF363" w:rsidR="0012005E" w:rsidRPr="00FE3D0E" w:rsidRDefault="0012005E" w:rsidP="0012005E">
      <w:pPr>
        <w:pStyle w:val="Listenumros"/>
        <w:numPr>
          <w:ilvl w:val="3"/>
          <w:numId w:val="15"/>
        </w:numPr>
        <w:spacing w:after="160"/>
        <w:contextualSpacing w:val="0"/>
        <w:jc w:val="both"/>
        <w:rPr>
          <w:color w:val="70AD47" w:themeColor="accent6"/>
        </w:rPr>
      </w:pPr>
      <w:r>
        <w:rPr>
          <w:color w:val="70AD47" w:themeColor="accent6"/>
        </w:rPr>
        <w:t>Le Maître d'ouvrage peut surveiller l'évolution de l'exécution des Services de Recherche et de Développement et peut vérifier à cet effet si les Livrables et les Jalons seront transmis en temps voulu.</w:t>
      </w:r>
    </w:p>
    <w:p w14:paraId="5661AF5A" w14:textId="2DB5D51B" w:rsidR="005C5254" w:rsidRPr="00FE3D0E" w:rsidRDefault="004E251B" w:rsidP="005C5254">
      <w:pPr>
        <w:pStyle w:val="Listenumros"/>
        <w:numPr>
          <w:ilvl w:val="3"/>
          <w:numId w:val="15"/>
        </w:numPr>
        <w:spacing w:after="160"/>
        <w:contextualSpacing w:val="0"/>
        <w:jc w:val="both"/>
        <w:rPr>
          <w:color w:val="70AD47" w:themeColor="accent6"/>
        </w:rPr>
      </w:pPr>
      <w:r>
        <w:rPr>
          <w:color w:val="70AD47" w:themeColor="accent6"/>
        </w:rPr>
        <w:t xml:space="preserve">S'il s'avère pendant l'exécution des Services de Recherche et de Développement que la solution proposée par l'Adjudicataire dans l'Offre ne peut pas être exécutée ou ne débouche pas sur les résultats souhaités et/ou que la solution peut être améliorée, l'Adjudicataire en informera immédiatement le Maître d'ouvrage par écrit. L'Adjudicataire indique de quelle manière l'exécution du Marché est impactée et quelle influence cela peut avoir sur le calendrier. Les disposions reprises à </w:t>
      </w:r>
      <w:r w:rsidR="00F83DB7">
        <w:rPr>
          <w:color w:val="70AD47" w:themeColor="accent6"/>
        </w:rPr>
        <w:fldChar w:fldCharType="begin"/>
      </w:r>
      <w:r w:rsidR="00F83DB7">
        <w:rPr>
          <w:color w:val="70AD47" w:themeColor="accent6"/>
        </w:rPr>
        <w:instrText xml:space="preserve"> REF _Ref153382828 \n \h </w:instrText>
      </w:r>
      <w:r w:rsidR="00F83DB7">
        <w:rPr>
          <w:color w:val="70AD47" w:themeColor="accent6"/>
        </w:rPr>
      </w:r>
      <w:r w:rsidR="00F83DB7">
        <w:rPr>
          <w:color w:val="70AD47" w:themeColor="accent6"/>
        </w:rPr>
        <w:fldChar w:fldCharType="separate"/>
      </w:r>
      <w:r>
        <w:rPr>
          <w:color w:val="70AD47" w:themeColor="accent6"/>
        </w:rPr>
        <w:t>l'Article 15</w:t>
      </w:r>
      <w:r w:rsidR="00F83DB7">
        <w:rPr>
          <w:color w:val="70AD47" w:themeColor="accent6"/>
        </w:rPr>
        <w:fldChar w:fldCharType="end"/>
      </w:r>
      <w:r>
        <w:rPr>
          <w:color w:val="70AD47" w:themeColor="accent6"/>
        </w:rPr>
        <w:t xml:space="preserve">, </w:t>
      </w:r>
      <w:r w:rsidR="00F83DB7">
        <w:rPr>
          <w:color w:val="70AD47" w:themeColor="accent6"/>
        </w:rPr>
        <w:fldChar w:fldCharType="begin"/>
      </w:r>
      <w:r w:rsidR="00F83DB7">
        <w:rPr>
          <w:color w:val="70AD47" w:themeColor="accent6"/>
        </w:rPr>
        <w:instrText xml:space="preserve"> REF _Ref153382861 \n \h </w:instrText>
      </w:r>
      <w:r w:rsidR="00F83DB7">
        <w:rPr>
          <w:color w:val="70AD47" w:themeColor="accent6"/>
        </w:rPr>
      </w:r>
      <w:r w:rsidR="00F83DB7">
        <w:rPr>
          <w:color w:val="70AD47" w:themeColor="accent6"/>
        </w:rPr>
        <w:fldChar w:fldCharType="separate"/>
      </w:r>
      <w:r>
        <w:rPr>
          <w:color w:val="70AD47" w:themeColor="accent6"/>
        </w:rPr>
        <w:t>l'Article 16</w:t>
      </w:r>
      <w:r w:rsidR="00F83DB7">
        <w:rPr>
          <w:color w:val="70AD47" w:themeColor="accent6"/>
        </w:rPr>
        <w:fldChar w:fldCharType="end"/>
      </w:r>
      <w:r>
        <w:rPr>
          <w:color w:val="70AD47" w:themeColor="accent6"/>
        </w:rPr>
        <w:t xml:space="preserve"> et </w:t>
      </w:r>
      <w:r w:rsidR="00F83DB7">
        <w:rPr>
          <w:color w:val="70AD47" w:themeColor="accent6"/>
        </w:rPr>
        <w:fldChar w:fldCharType="begin"/>
      </w:r>
      <w:r w:rsidR="00F83DB7">
        <w:rPr>
          <w:color w:val="70AD47" w:themeColor="accent6"/>
        </w:rPr>
        <w:instrText xml:space="preserve"> REF _Ref153382897 \n \h </w:instrText>
      </w:r>
      <w:r w:rsidR="00F83DB7">
        <w:rPr>
          <w:color w:val="70AD47" w:themeColor="accent6"/>
        </w:rPr>
      </w:r>
      <w:r w:rsidR="00F83DB7">
        <w:rPr>
          <w:color w:val="70AD47" w:themeColor="accent6"/>
        </w:rPr>
        <w:fldChar w:fldCharType="separate"/>
      </w:r>
      <w:r>
        <w:rPr>
          <w:color w:val="70AD47" w:themeColor="accent6"/>
        </w:rPr>
        <w:t>l'Article 17</w:t>
      </w:r>
      <w:r w:rsidR="00F83DB7">
        <w:rPr>
          <w:color w:val="70AD47" w:themeColor="accent6"/>
        </w:rPr>
        <w:fldChar w:fldCharType="end"/>
      </w:r>
      <w:r>
        <w:rPr>
          <w:color w:val="70AD47" w:themeColor="accent6"/>
        </w:rPr>
        <w:t xml:space="preserve"> restent intégralement d'application.</w:t>
      </w:r>
    </w:p>
    <w:p w14:paraId="0A78A22C" w14:textId="0D69E477" w:rsidR="004E251B" w:rsidRPr="00FE3D0E" w:rsidRDefault="0071094D" w:rsidP="0071094D">
      <w:pPr>
        <w:pStyle w:val="Listenumros"/>
        <w:numPr>
          <w:ilvl w:val="3"/>
          <w:numId w:val="15"/>
        </w:numPr>
        <w:spacing w:after="160"/>
        <w:contextualSpacing w:val="0"/>
        <w:jc w:val="both"/>
        <w:rPr>
          <w:color w:val="70AD47" w:themeColor="accent6"/>
        </w:rPr>
      </w:pPr>
      <w:r>
        <w:rPr>
          <w:color w:val="70AD47" w:themeColor="accent6"/>
        </w:rPr>
        <w:t>Le Maître d'ouvrage peut demander à l'Adjudicataire de discuter des Livrables, des Jalons ou des Résultats atteints et d'introduire le cas échéant un plan de travail adapté afin que l'évolution du Marché soit garantie.</w:t>
      </w:r>
    </w:p>
    <w:p w14:paraId="1AD37AC4" w14:textId="42425ACC" w:rsidR="0012005E" w:rsidRPr="00FE3D0E" w:rsidRDefault="0012005E" w:rsidP="0071094D">
      <w:pPr>
        <w:pStyle w:val="Listenumros"/>
        <w:numPr>
          <w:ilvl w:val="3"/>
          <w:numId w:val="15"/>
        </w:numPr>
        <w:spacing w:after="160"/>
        <w:contextualSpacing w:val="0"/>
        <w:jc w:val="both"/>
        <w:rPr>
          <w:color w:val="70AD47" w:themeColor="accent6"/>
        </w:rPr>
      </w:pPr>
      <w:r>
        <w:rPr>
          <w:color w:val="70AD47" w:themeColor="accent6"/>
        </w:rPr>
        <w:lastRenderedPageBreak/>
        <w:t>L'exécution des Services de Recherche et de Développement doit être terminée à la Date de fin. Cette date est fixée au [indiquer une date].</w:t>
      </w:r>
    </w:p>
    <w:p w14:paraId="6F5D252F" w14:textId="52EBE7CD" w:rsidR="0012005E" w:rsidRPr="00FE3D0E" w:rsidRDefault="0012005E" w:rsidP="0012005E">
      <w:pPr>
        <w:pStyle w:val="Listenumros"/>
        <w:numPr>
          <w:ilvl w:val="3"/>
          <w:numId w:val="15"/>
        </w:numPr>
        <w:spacing w:after="160"/>
        <w:contextualSpacing w:val="0"/>
        <w:jc w:val="both"/>
        <w:rPr>
          <w:color w:val="70AD47" w:themeColor="accent6"/>
        </w:rPr>
      </w:pPr>
      <w:r>
        <w:rPr>
          <w:color w:val="70AD47" w:themeColor="accent6"/>
        </w:rPr>
        <w:t>L'Adjudicataire s'engage à exécuter les services dans un ou plusieurs pays de l'Union européenne ou des États qui ont signé l'Accord sur les Marchés publics (AMP) de l'Organisation mondiale du commerce.</w:t>
      </w:r>
    </w:p>
    <w:p w14:paraId="1DBC8968" w14:textId="77777777" w:rsidR="005C5254" w:rsidRPr="00FE3D0E" w:rsidRDefault="005C5254" w:rsidP="005C5254">
      <w:pPr>
        <w:pStyle w:val="Titre3"/>
        <w:rPr>
          <w:color w:val="70AD47" w:themeColor="accent6"/>
        </w:rPr>
      </w:pPr>
      <w:bookmarkStart w:id="58" w:name="_Ref143720585"/>
      <w:bookmarkStart w:id="59" w:name="_Ref143721165"/>
      <w:bookmarkStart w:id="60" w:name="_Toc215498991"/>
      <w:r>
        <w:rPr>
          <w:color w:val="70AD47" w:themeColor="accent6"/>
        </w:rPr>
        <w:t>Rapport final</w:t>
      </w:r>
      <w:bookmarkEnd w:id="58"/>
      <w:bookmarkEnd w:id="60"/>
    </w:p>
    <w:p w14:paraId="64F019A5" w14:textId="4AA7E359" w:rsidR="005C5254" w:rsidRPr="00FE3D0E" w:rsidRDefault="005C5254" w:rsidP="005C5254">
      <w:pPr>
        <w:pStyle w:val="Listenumros"/>
        <w:numPr>
          <w:ilvl w:val="3"/>
          <w:numId w:val="15"/>
        </w:numPr>
        <w:spacing w:after="160"/>
        <w:contextualSpacing w:val="0"/>
        <w:jc w:val="both"/>
        <w:rPr>
          <w:color w:val="70AD47" w:themeColor="accent6"/>
        </w:rPr>
      </w:pPr>
      <w:r>
        <w:rPr>
          <w:color w:val="70AD47" w:themeColor="accent6"/>
        </w:rPr>
        <w:t>L'Adjudicataire présentera un Rapport final au plus tard à la Date de fin à laquelle les Services de Recherche et de Développement doit être terminés.</w:t>
      </w:r>
    </w:p>
    <w:p w14:paraId="27B6B1B6" w14:textId="288A5966" w:rsidR="005C5254" w:rsidRPr="00FE3D0E" w:rsidRDefault="005C5254" w:rsidP="005C5254">
      <w:pPr>
        <w:pStyle w:val="Listenumros"/>
        <w:numPr>
          <w:ilvl w:val="3"/>
          <w:numId w:val="15"/>
        </w:numPr>
        <w:spacing w:after="160"/>
        <w:contextualSpacing w:val="0"/>
        <w:jc w:val="both"/>
        <w:rPr>
          <w:color w:val="70AD47" w:themeColor="accent6"/>
        </w:rPr>
      </w:pPr>
      <w:r>
        <w:rPr>
          <w:color w:val="70AD47" w:themeColor="accent6"/>
        </w:rPr>
        <w:t xml:space="preserve">Le Rapport final comprend les données, les méthodes, les résultats et les conclusions finales, les informations relatives aux Résultats conformément à l'Article </w:t>
      </w:r>
      <w:r w:rsidRPr="00FE3D0E">
        <w:rPr>
          <w:color w:val="70AD47" w:themeColor="accent6"/>
        </w:rPr>
        <w:fldChar w:fldCharType="begin"/>
      </w:r>
      <w:r w:rsidRPr="00FE3D0E">
        <w:rPr>
          <w:color w:val="70AD47" w:themeColor="accent6"/>
        </w:rPr>
        <w:instrText xml:space="preserve"> REF _Ref143707417 \n \h  \* MERGEFORMAT </w:instrText>
      </w:r>
      <w:r w:rsidRPr="00FE3D0E">
        <w:rPr>
          <w:color w:val="70AD47" w:themeColor="accent6"/>
        </w:rPr>
      </w:r>
      <w:r w:rsidRPr="00FE3D0E">
        <w:rPr>
          <w:color w:val="70AD47" w:themeColor="accent6"/>
        </w:rPr>
        <w:fldChar w:fldCharType="separate"/>
      </w:r>
      <w:r>
        <w:rPr>
          <w:color w:val="70AD47" w:themeColor="accent6"/>
        </w:rPr>
        <w:t>31.1</w:t>
      </w:r>
      <w:r w:rsidRPr="00FE3D0E">
        <w:rPr>
          <w:color w:val="70AD47" w:themeColor="accent6"/>
        </w:rPr>
        <w:fldChar w:fldCharType="end"/>
      </w:r>
      <w:r>
        <w:rPr>
          <w:color w:val="70AD47" w:themeColor="accent6"/>
        </w:rPr>
        <w:t>, ainsi que la gestion des informations et toutes les autres informations relatives à la phase spécifique à laquelle elles se rapportent jusqu'à la Date de fin.</w:t>
      </w:r>
    </w:p>
    <w:p w14:paraId="26CC60AB" w14:textId="666AED3C" w:rsidR="005C5254" w:rsidRPr="00FE3D0E" w:rsidRDefault="005C5254" w:rsidP="005C5254">
      <w:pPr>
        <w:pStyle w:val="Listenumros"/>
        <w:numPr>
          <w:ilvl w:val="3"/>
          <w:numId w:val="15"/>
        </w:numPr>
        <w:spacing w:after="160"/>
        <w:contextualSpacing w:val="0"/>
        <w:jc w:val="both"/>
        <w:rPr>
          <w:color w:val="70AD47" w:themeColor="accent6"/>
        </w:rPr>
      </w:pPr>
      <w:r>
        <w:rPr>
          <w:color w:val="70AD47" w:themeColor="accent6"/>
        </w:rPr>
        <w:t>Dans le Rapport final, l'Adjudicataire mentionne aussi les remarques formulées par le Maître d'ouvrage pendant l'exécution des Services de Recherche et de Développement. L'Adjudicataire mentionne dans le Rapport final comment une réponse a été apportée aux remarques formulées par le Maître d'ouvrage.</w:t>
      </w:r>
    </w:p>
    <w:p w14:paraId="09A559E4" w14:textId="0DFE1E53" w:rsidR="005C5254" w:rsidRPr="00FE3D0E" w:rsidRDefault="005C5254" w:rsidP="005C5254">
      <w:pPr>
        <w:pStyle w:val="Listenumros"/>
        <w:numPr>
          <w:ilvl w:val="3"/>
          <w:numId w:val="15"/>
        </w:numPr>
        <w:spacing w:after="160"/>
        <w:contextualSpacing w:val="0"/>
        <w:jc w:val="both"/>
        <w:rPr>
          <w:color w:val="70AD47" w:themeColor="accent6"/>
        </w:rPr>
      </w:pPr>
      <w:bookmarkStart w:id="61" w:name="_Ref143621175"/>
      <w:r>
        <w:rPr>
          <w:color w:val="70AD47" w:themeColor="accent6"/>
        </w:rPr>
        <w:t xml:space="preserve">Le Rapport final sera évalué par le Maître d'ouvrage ou par ses préposés. Lors de l'évaluation, on vérifiera si l'Adjudicataire a atteint les Jalons pertinents tels que décrits à </w:t>
      </w:r>
      <w:bookmarkEnd w:id="61"/>
      <w:r w:rsidR="00F56753" w:rsidRPr="00F56753">
        <w:rPr>
          <w:color w:val="70AD47" w:themeColor="accent6"/>
        </w:rPr>
        <w:fldChar w:fldCharType="begin"/>
      </w:r>
      <w:r w:rsidR="00F56753" w:rsidRPr="00F56753">
        <w:rPr>
          <w:color w:val="70AD47" w:themeColor="accent6"/>
        </w:rPr>
        <w:instrText xml:space="preserve"> REF _Ref153387586 \h </w:instrText>
      </w:r>
      <w:r w:rsidR="00F56753" w:rsidRPr="00F56753">
        <w:rPr>
          <w:color w:val="70AD47" w:themeColor="accent6"/>
        </w:rPr>
      </w:r>
      <w:r w:rsidR="00F56753" w:rsidRPr="00F56753">
        <w:rPr>
          <w:color w:val="70AD47" w:themeColor="accent6"/>
        </w:rPr>
        <w:fldChar w:fldCharType="separate"/>
      </w:r>
      <w:r>
        <w:rPr>
          <w:color w:val="70AD47" w:themeColor="accent6"/>
        </w:rPr>
        <w:t>l'Annexe 2. - Services de Recherche et de Développement - Livrables et Jalons</w:t>
      </w:r>
      <w:r w:rsidR="00F56753" w:rsidRPr="00F56753">
        <w:rPr>
          <w:color w:val="70AD47" w:themeColor="accent6"/>
        </w:rPr>
        <w:fldChar w:fldCharType="end"/>
      </w:r>
      <w:r>
        <w:rPr>
          <w:color w:val="70AD47" w:themeColor="accent6"/>
        </w:rPr>
        <w:t>.</w:t>
      </w:r>
    </w:p>
    <w:p w14:paraId="053EB8D0" w14:textId="73FDF633" w:rsidR="0071094D" w:rsidRPr="00FE3D0E" w:rsidRDefault="0071094D" w:rsidP="0071094D">
      <w:pPr>
        <w:pStyle w:val="Titre3"/>
        <w:rPr>
          <w:color w:val="70AD47" w:themeColor="accent6"/>
        </w:rPr>
      </w:pPr>
      <w:bookmarkStart w:id="62" w:name="_Toc215498992"/>
      <w:r>
        <w:rPr>
          <w:color w:val="70AD47" w:themeColor="accent6"/>
        </w:rPr>
        <w:t>Registres</w:t>
      </w:r>
      <w:bookmarkEnd w:id="59"/>
      <w:bookmarkEnd w:id="62"/>
    </w:p>
    <w:p w14:paraId="5244B17E" w14:textId="77777777" w:rsidR="0071094D" w:rsidRPr="00FE3D0E" w:rsidRDefault="0071094D" w:rsidP="0071094D">
      <w:pPr>
        <w:pStyle w:val="Listenumros"/>
        <w:numPr>
          <w:ilvl w:val="3"/>
          <w:numId w:val="15"/>
        </w:numPr>
        <w:spacing w:after="160"/>
        <w:contextualSpacing w:val="0"/>
        <w:jc w:val="both"/>
        <w:rPr>
          <w:color w:val="70AD47" w:themeColor="accent6"/>
        </w:rPr>
      </w:pPr>
      <w:r>
        <w:rPr>
          <w:color w:val="70AD47" w:themeColor="accent6"/>
        </w:rPr>
        <w:t>L'Adjudicataire tient des registres dans lesquels est documentée l'exécution des Services de Recherche et de Développement. Cette obligation comprend :</w:t>
      </w:r>
    </w:p>
    <w:p w14:paraId="305A15E0" w14:textId="77777777" w:rsidR="0071094D" w:rsidRPr="00FE3D0E" w:rsidRDefault="0071094D" w:rsidP="0071094D">
      <w:pPr>
        <w:pStyle w:val="Listenumros"/>
        <w:numPr>
          <w:ilvl w:val="4"/>
          <w:numId w:val="15"/>
        </w:numPr>
        <w:spacing w:after="160"/>
        <w:contextualSpacing w:val="0"/>
        <w:jc w:val="both"/>
        <w:rPr>
          <w:color w:val="70AD47" w:themeColor="accent6"/>
        </w:rPr>
      </w:pPr>
      <w:r>
        <w:rPr>
          <w:color w:val="70AD47" w:themeColor="accent6"/>
        </w:rPr>
        <w:t>La tenue d'enregistrements, d'enregistrements du temps et d'autres documentations de support sur l'exécution scientifique et technique des Services de Recherche et de Développement ;</w:t>
      </w:r>
    </w:p>
    <w:p w14:paraId="0B0609D2" w14:textId="77777777" w:rsidR="0071094D" w:rsidRPr="00FE3D0E" w:rsidRDefault="0071094D" w:rsidP="0071094D">
      <w:pPr>
        <w:pStyle w:val="Listenumros"/>
        <w:numPr>
          <w:ilvl w:val="4"/>
          <w:numId w:val="15"/>
        </w:numPr>
        <w:spacing w:after="160"/>
        <w:contextualSpacing w:val="0"/>
        <w:jc w:val="both"/>
        <w:rPr>
          <w:color w:val="70AD47" w:themeColor="accent6"/>
        </w:rPr>
      </w:pPr>
      <w:r>
        <w:rPr>
          <w:color w:val="70AD47" w:themeColor="accent6"/>
        </w:rPr>
        <w:t>Le prix facturé et les frais encourus par l'Adjudicataire pour l'exécution des Services de Recherche et de Développement ;</w:t>
      </w:r>
    </w:p>
    <w:p w14:paraId="01B36FCB" w14:textId="77777777" w:rsidR="0071094D" w:rsidRPr="00FE3D0E" w:rsidRDefault="0071094D" w:rsidP="0071094D">
      <w:pPr>
        <w:pStyle w:val="Listenumros"/>
        <w:numPr>
          <w:ilvl w:val="4"/>
          <w:numId w:val="15"/>
        </w:numPr>
        <w:spacing w:after="160"/>
        <w:contextualSpacing w:val="0"/>
        <w:jc w:val="both"/>
        <w:rPr>
          <w:color w:val="70AD47" w:themeColor="accent6"/>
        </w:rPr>
      </w:pPr>
      <w:r>
        <w:rPr>
          <w:color w:val="70AD47" w:themeColor="accent6"/>
        </w:rPr>
        <w:t>La tenue des documents originaux, ainsi que des copies numériques et digitalisées.</w:t>
      </w:r>
    </w:p>
    <w:p w14:paraId="627D6375" w14:textId="3B756F2C" w:rsidR="0071094D" w:rsidRPr="00FE3D0E" w:rsidRDefault="0071094D" w:rsidP="0071094D">
      <w:pPr>
        <w:pStyle w:val="Listenumros"/>
        <w:numPr>
          <w:ilvl w:val="3"/>
          <w:numId w:val="15"/>
        </w:numPr>
        <w:spacing w:after="160"/>
        <w:contextualSpacing w:val="0"/>
        <w:jc w:val="both"/>
        <w:rPr>
          <w:color w:val="70AD47" w:themeColor="accent6"/>
        </w:rPr>
      </w:pPr>
      <w:r>
        <w:rPr>
          <w:color w:val="70AD47" w:themeColor="accent6"/>
        </w:rPr>
        <w:t>L'Adjudicataire conserve ces registres jusqu'à au moins quatre (4) ans après la fin du Contrat. En cas de litige pendant impliquant le Maître d'ouvrage, celui-ci en informe l'Adjudicataire et ce dernier conserve les registres jusqu'à l'obtention d'une décision de justice passée en force de chose jugée et mettant fin au litige pendant impliquant le Maître d'ouvrage.</w:t>
      </w:r>
    </w:p>
    <w:p w14:paraId="3C8B74CF" w14:textId="77777777" w:rsidR="006A3522" w:rsidRPr="00FE3D0E" w:rsidRDefault="006A3522" w:rsidP="006A3522">
      <w:pPr>
        <w:pStyle w:val="Titre3"/>
        <w:rPr>
          <w:color w:val="70AD47" w:themeColor="accent6"/>
        </w:rPr>
      </w:pPr>
      <w:bookmarkStart w:id="63" w:name="_Ref143721057"/>
      <w:bookmarkStart w:id="64" w:name="_Toc215498993"/>
      <w:r>
        <w:rPr>
          <w:color w:val="70AD47" w:themeColor="accent6"/>
        </w:rPr>
        <w:lastRenderedPageBreak/>
        <w:t>Communication sur les Résultats</w:t>
      </w:r>
      <w:bookmarkEnd w:id="63"/>
      <w:bookmarkEnd w:id="64"/>
    </w:p>
    <w:p w14:paraId="4D0D0F8D" w14:textId="5329EDC2" w:rsidR="006A3522" w:rsidRPr="00FE3D0E" w:rsidRDefault="006A3522" w:rsidP="006A3522">
      <w:pPr>
        <w:pStyle w:val="Listenumros"/>
        <w:numPr>
          <w:ilvl w:val="3"/>
          <w:numId w:val="15"/>
        </w:numPr>
        <w:spacing w:after="160"/>
        <w:contextualSpacing w:val="0"/>
        <w:jc w:val="both"/>
        <w:rPr>
          <w:color w:val="70AD47" w:themeColor="accent6"/>
        </w:rPr>
      </w:pPr>
      <w:r>
        <w:rPr>
          <w:color w:val="70AD47" w:themeColor="accent6"/>
        </w:rPr>
        <w:t>Si l'Adjudicataire souhaite communiquer sur les Résultats avec des tiers, il en informe le Maître d'ouvrage par écrit trois (3) jours avant la communication. L'Adjudicataire transmet dans ce cas la communication qu'il diffuserait. Le Maître d'ouvrage a le droit de refuser que l'Adjudicataire poursuive la communication si l'exécution du Marché est menacée ou si le Maître d'ouvrage et/ou l'une des parties participant au Marché et/ou un tiers pourrait en subir des dommages.</w:t>
      </w:r>
    </w:p>
    <w:p w14:paraId="091A72B6" w14:textId="11B1CC50" w:rsidR="006A3522" w:rsidRPr="00FE3D0E" w:rsidRDefault="006A3522" w:rsidP="006A3522">
      <w:pPr>
        <w:pStyle w:val="Listenumros"/>
        <w:numPr>
          <w:ilvl w:val="3"/>
          <w:numId w:val="15"/>
        </w:numPr>
        <w:spacing w:after="160"/>
        <w:contextualSpacing w:val="0"/>
        <w:jc w:val="both"/>
        <w:rPr>
          <w:color w:val="70AD47" w:themeColor="accent6"/>
        </w:rPr>
      </w:pPr>
      <w:r>
        <w:rPr>
          <w:color w:val="70AD47" w:themeColor="accent6"/>
        </w:rPr>
        <w:t>L'Adjudicataire mentionne les données du Maître d'ouvrage, qui sont fournies par ce dernier.</w:t>
      </w:r>
    </w:p>
    <w:p w14:paraId="77D66E2A" w14:textId="7C332DB8" w:rsidR="00C600BF" w:rsidRPr="00FE3D0E" w:rsidRDefault="00C600BF" w:rsidP="006A3522">
      <w:pPr>
        <w:pStyle w:val="Listenumros"/>
        <w:numPr>
          <w:ilvl w:val="3"/>
          <w:numId w:val="15"/>
        </w:numPr>
        <w:spacing w:after="160"/>
        <w:contextualSpacing w:val="0"/>
        <w:jc w:val="both"/>
        <w:rPr>
          <w:color w:val="70AD47" w:themeColor="accent6"/>
        </w:rPr>
      </w:pPr>
      <w:r>
        <w:rPr>
          <w:color w:val="70AD47" w:themeColor="accent6"/>
        </w:rPr>
        <w:t>Le Maître d'ouvrage peut publier des données générales sur l'existence du Marché et les Résultats. Ces données sont formulées de telle manière qu'elles ne peuvent pas être utilisées par des tiers sans disposer de l'autorisation préalable de l'Adjudicataire à cet effet.</w:t>
      </w:r>
    </w:p>
    <w:p w14:paraId="56AF6577" w14:textId="77777777" w:rsidR="006A3522" w:rsidRPr="00FE3D0E" w:rsidRDefault="006A3522" w:rsidP="006A3522">
      <w:pPr>
        <w:pStyle w:val="Titre3"/>
        <w:rPr>
          <w:color w:val="70AD47" w:themeColor="accent6"/>
        </w:rPr>
      </w:pPr>
      <w:bookmarkStart w:id="65" w:name="_Ref143721043"/>
      <w:bookmarkStart w:id="66" w:name="_Toc215498994"/>
      <w:r>
        <w:rPr>
          <w:color w:val="70AD47" w:themeColor="accent6"/>
        </w:rPr>
        <w:t>Exploitation des Résultats</w:t>
      </w:r>
      <w:bookmarkEnd w:id="65"/>
      <w:bookmarkEnd w:id="66"/>
    </w:p>
    <w:p w14:paraId="21D46CA9" w14:textId="52BACDC1" w:rsidR="006A3522" w:rsidRPr="00FE3D0E" w:rsidRDefault="006A3522" w:rsidP="006A3522">
      <w:pPr>
        <w:pStyle w:val="Listenumros"/>
        <w:numPr>
          <w:ilvl w:val="3"/>
          <w:numId w:val="15"/>
        </w:numPr>
        <w:spacing w:after="160"/>
        <w:contextualSpacing w:val="0"/>
        <w:jc w:val="both"/>
        <w:rPr>
          <w:color w:val="70AD47" w:themeColor="accent6"/>
        </w:rPr>
      </w:pPr>
      <w:r>
        <w:rPr>
          <w:color w:val="70AD47" w:themeColor="accent6"/>
        </w:rPr>
        <w:t>L'Adjudicataire peut exploiter commercialement les Résultats de manière directe ou indirecte. L'Adjudicataire informe le Maître d'ouvrage de la manière dont les Résultats seront exploités.</w:t>
      </w:r>
    </w:p>
    <w:p w14:paraId="6D594E7B" w14:textId="4844A8A5" w:rsidR="006A3522" w:rsidRPr="00FE3D0E" w:rsidRDefault="006A3522" w:rsidP="006A3522">
      <w:pPr>
        <w:pStyle w:val="Listenumros"/>
        <w:numPr>
          <w:ilvl w:val="3"/>
          <w:numId w:val="15"/>
        </w:numPr>
        <w:spacing w:after="160"/>
        <w:contextualSpacing w:val="0"/>
        <w:jc w:val="both"/>
        <w:rPr>
          <w:color w:val="70AD47" w:themeColor="accent6"/>
        </w:rPr>
      </w:pPr>
      <w:r>
        <w:rPr>
          <w:color w:val="70AD47" w:themeColor="accent6"/>
        </w:rPr>
        <w:t>Le Maître d'ouvrage a le droit de vérifier comment l'Adjudicataire exploitera et/ou exploite commercialement les Résultats jusqu'à une période de quatre (4) ans après la fin du Contrat.</w:t>
      </w:r>
    </w:p>
    <w:p w14:paraId="5F2228FE" w14:textId="4D889F61" w:rsidR="006A3522" w:rsidRPr="00FE3D0E" w:rsidRDefault="006A3522" w:rsidP="0079703D">
      <w:pPr>
        <w:pStyle w:val="Listenumros"/>
        <w:numPr>
          <w:ilvl w:val="3"/>
          <w:numId w:val="15"/>
        </w:numPr>
        <w:spacing w:after="160"/>
        <w:contextualSpacing w:val="0"/>
        <w:jc w:val="both"/>
        <w:rPr>
          <w:color w:val="70AD47" w:themeColor="accent6"/>
        </w:rPr>
      </w:pPr>
      <w:bookmarkStart w:id="67" w:name="_Ref143623343"/>
      <w:bookmarkStart w:id="68" w:name="_Ref153383020"/>
      <w:r>
        <w:rPr>
          <w:color w:val="70AD47" w:themeColor="accent6"/>
        </w:rPr>
        <w:t>Si l'Adjudicataire n'exploite pas les Résultats commercialement de manière directe ou indirecte au plus tard quatre (4) ans après la fin du Contrat, tous les droits sur les Résultats deviendront gratuitement la propriété du Maître d'ouvrage.</w:t>
      </w:r>
      <w:bookmarkEnd w:id="67"/>
      <w:r>
        <w:rPr>
          <w:color w:val="70AD47" w:themeColor="accent6"/>
        </w:rPr>
        <w:t xml:space="preserve"> La non-exploitation commerciale directe ou indirecte des Résultats signifie la non-commercialisation d'une application commerciale des Résultats, directement ou indirectement, via un Sous-traitant ou un titulaire de licence.</w:t>
      </w:r>
      <w:bookmarkEnd w:id="68"/>
    </w:p>
    <w:p w14:paraId="60487C52" w14:textId="791495D3" w:rsidR="00C600BF" w:rsidRPr="00FE3D0E" w:rsidRDefault="00F26BE8" w:rsidP="00C600BF">
      <w:pPr>
        <w:pStyle w:val="Titre2"/>
        <w:rPr>
          <w:color w:val="70AD47" w:themeColor="accent6"/>
        </w:rPr>
      </w:pPr>
      <w:bookmarkStart w:id="69" w:name="_Toc215498995"/>
      <w:r>
        <w:rPr>
          <w:color w:val="70AD47" w:themeColor="accent6"/>
        </w:rPr>
        <w:t>Droits de propriété intellectuelle</w:t>
      </w:r>
      <w:bookmarkEnd w:id="69"/>
    </w:p>
    <w:p w14:paraId="079C6AC3" w14:textId="2913083F" w:rsidR="00C600BF" w:rsidRPr="00C600BF" w:rsidRDefault="2130BECD" w:rsidP="00C600BF">
      <w:pPr>
        <w:jc w:val="both"/>
        <w:rPr>
          <w:color w:val="FF0000"/>
        </w:rPr>
      </w:pPr>
      <w:r>
        <w:rPr>
          <w:color w:val="FF0000"/>
        </w:rPr>
        <w:t>L'objectif des dispositions suivantes est de trouver un équilibre en ce qui concerne les droits de propriété intellectuelle et les Services de Recherche et de Développement, notamment à la lumière de la Communication de la Commission européenne sur l'encadrement de l'aide d'État dans de tels services. D'autres options sont toutefois possibles. On peut par exemple partir d'une approche plus stricte où tous les droits de propriété intellectuelle reviennent à l'une ou l'autre partie, sans que la moindre autre condition y soit associée.</w:t>
      </w:r>
    </w:p>
    <w:p w14:paraId="62B03BEE" w14:textId="51D43C14" w:rsidR="00C600BF" w:rsidRPr="00FE3D0E" w:rsidRDefault="00F26BE8" w:rsidP="00C600BF">
      <w:pPr>
        <w:pStyle w:val="Titre3"/>
        <w:rPr>
          <w:color w:val="70AD47" w:themeColor="accent6"/>
        </w:rPr>
      </w:pPr>
      <w:bookmarkStart w:id="70" w:name="_Toc215498996"/>
      <w:r>
        <w:rPr>
          <w:color w:val="70AD47" w:themeColor="accent6"/>
        </w:rPr>
        <w:t>Droits de propriété intellectuelle</w:t>
      </w:r>
      <w:bookmarkEnd w:id="70"/>
    </w:p>
    <w:p w14:paraId="3808B4E7" w14:textId="2F011AE3" w:rsidR="00F26BE8" w:rsidRPr="00FE3D0E" w:rsidRDefault="00F26BE8" w:rsidP="00F26BE8">
      <w:pPr>
        <w:pStyle w:val="Listenumros"/>
        <w:numPr>
          <w:ilvl w:val="3"/>
          <w:numId w:val="15"/>
        </w:numPr>
        <w:spacing w:after="160"/>
        <w:contextualSpacing w:val="0"/>
        <w:jc w:val="both"/>
        <w:rPr>
          <w:color w:val="70AD47" w:themeColor="accent6"/>
        </w:rPr>
      </w:pPr>
      <w:r>
        <w:rPr>
          <w:color w:val="70AD47" w:themeColor="accent6"/>
        </w:rPr>
        <w:t xml:space="preserve">L'Adjudicataire s'engage à obtenir toutes les licences et autorisations nécessaires qui sont exigées pour l'exécution du Marché et à les conserver pendant la durée du Contrat. </w:t>
      </w:r>
    </w:p>
    <w:p w14:paraId="4110D816" w14:textId="0F6598DE" w:rsidR="00F26BE8" w:rsidRPr="00FE3D0E" w:rsidRDefault="00F26BE8" w:rsidP="00F26BE8">
      <w:pPr>
        <w:pStyle w:val="Listenumros"/>
        <w:numPr>
          <w:ilvl w:val="3"/>
          <w:numId w:val="15"/>
        </w:numPr>
        <w:spacing w:after="160"/>
        <w:contextualSpacing w:val="0"/>
        <w:jc w:val="both"/>
        <w:rPr>
          <w:color w:val="70AD47" w:themeColor="accent6"/>
        </w:rPr>
      </w:pPr>
      <w:r>
        <w:rPr>
          <w:color w:val="70AD47" w:themeColor="accent6"/>
        </w:rPr>
        <w:lastRenderedPageBreak/>
        <w:t>Les droits relatifs au Savoir demeurent la propriété de la Partie qui le met à disposition ou, selon le cas, de son donneur de licence. Sauf pour autant qu'elle soit expressément accordée dans le présent Contrat, aucune licence pour l'utilisation de la moindre propriété intellectuelle n'est octroyée ou sous-entendue par le présent Contrat.</w:t>
      </w:r>
    </w:p>
    <w:p w14:paraId="3E3E997C" w14:textId="7832CF99" w:rsidR="00F26BE8" w:rsidRPr="00FE3D0E" w:rsidRDefault="00F26BE8" w:rsidP="00F26BE8">
      <w:pPr>
        <w:pStyle w:val="Listenumros"/>
        <w:numPr>
          <w:ilvl w:val="3"/>
          <w:numId w:val="15"/>
        </w:numPr>
        <w:spacing w:after="160"/>
        <w:contextualSpacing w:val="0"/>
        <w:jc w:val="both"/>
        <w:rPr>
          <w:color w:val="70AD47" w:themeColor="accent6"/>
        </w:rPr>
      </w:pPr>
      <w:r>
        <w:rPr>
          <w:color w:val="70AD47" w:themeColor="accent6"/>
        </w:rPr>
        <w:t>L'Adjudicataire doit fournir au Maître d'ouvrage dans les trente (30) jours suivant la signature du présent Contrat une liste de son Savoir et des droits préexistants qu'il possède et/ou auxquels il a accès, en ce compris, mais sans s'y limiter, une liste du logiciel nécessaire pour le fonctionnement du prototype et des services pilotes qui seront développés dans le cadre du Marché.</w:t>
      </w:r>
    </w:p>
    <w:p w14:paraId="02930D8E" w14:textId="77777777" w:rsidR="00F26BE8" w:rsidRPr="00FE3D0E" w:rsidRDefault="00F26BE8" w:rsidP="00F26BE8">
      <w:pPr>
        <w:pStyle w:val="Listenumros"/>
        <w:numPr>
          <w:ilvl w:val="3"/>
          <w:numId w:val="15"/>
        </w:numPr>
        <w:spacing w:after="160"/>
        <w:contextualSpacing w:val="0"/>
        <w:jc w:val="both"/>
        <w:rPr>
          <w:color w:val="70AD47" w:themeColor="accent6"/>
        </w:rPr>
      </w:pPr>
      <w:r>
        <w:rPr>
          <w:color w:val="70AD47" w:themeColor="accent6"/>
        </w:rPr>
        <w:t>L'Adjudicataire assurera toujours une actualisation de la liste en fonction de l'évolution de l'exécution du Marché et transmettra au Maître d'ouvrage une liste actualisée à la signature de chaque Sous-contrat.</w:t>
      </w:r>
    </w:p>
    <w:p w14:paraId="5E7BBC74" w14:textId="7818C46D" w:rsidR="00F26BE8" w:rsidRPr="00FE3D0E" w:rsidRDefault="00F26BE8" w:rsidP="00F26BE8">
      <w:pPr>
        <w:pStyle w:val="Listenumros"/>
        <w:numPr>
          <w:ilvl w:val="3"/>
          <w:numId w:val="15"/>
        </w:numPr>
        <w:spacing w:after="160"/>
        <w:contextualSpacing w:val="0"/>
        <w:jc w:val="both"/>
        <w:rPr>
          <w:color w:val="70AD47" w:themeColor="accent6"/>
        </w:rPr>
      </w:pPr>
      <w:r>
        <w:rPr>
          <w:color w:val="70AD47" w:themeColor="accent6"/>
        </w:rPr>
        <w:t>Les Parties s'en tiennent à tout moment aux obligations préexistantes applicables au Savoir. Les Parties s'octroient mutuellement une licence libre de royalties, non exclusive, irrévocable et ne pouvant pas faire l'objet d'une sous-licence afin d'utiliser le Savoir pour l'exécution du Contrat.</w:t>
      </w:r>
    </w:p>
    <w:p w14:paraId="347734FE" w14:textId="77777777" w:rsidR="00C600BF" w:rsidRPr="00FE3D0E" w:rsidRDefault="00C600BF" w:rsidP="00C600BF">
      <w:pPr>
        <w:pStyle w:val="Titre3"/>
        <w:rPr>
          <w:color w:val="70AD47" w:themeColor="accent6"/>
        </w:rPr>
      </w:pPr>
      <w:bookmarkStart w:id="71" w:name="_Ref143721026"/>
      <w:bookmarkStart w:id="72" w:name="_Toc215498997"/>
      <w:r>
        <w:rPr>
          <w:color w:val="70AD47" w:themeColor="accent6"/>
        </w:rPr>
        <w:t>Résultats</w:t>
      </w:r>
      <w:bookmarkEnd w:id="71"/>
      <w:bookmarkEnd w:id="72"/>
    </w:p>
    <w:p w14:paraId="5C38D2C2" w14:textId="3FE3E5E9" w:rsidR="00C600BF" w:rsidRPr="00FE3D0E" w:rsidRDefault="00C600BF" w:rsidP="00C600BF">
      <w:pPr>
        <w:pStyle w:val="Listenumros"/>
        <w:numPr>
          <w:ilvl w:val="3"/>
          <w:numId w:val="15"/>
        </w:numPr>
        <w:spacing w:after="160"/>
        <w:contextualSpacing w:val="0"/>
        <w:jc w:val="both"/>
        <w:rPr>
          <w:color w:val="70AD47" w:themeColor="accent6"/>
        </w:rPr>
      </w:pPr>
      <w:bookmarkStart w:id="73" w:name="_Ref143707417"/>
      <w:r>
        <w:rPr>
          <w:color w:val="70AD47" w:themeColor="accent6"/>
        </w:rPr>
        <w:t>L'Adjudicataire informe le Maître d'ouvrage de tous les Résultats pouvant être exploités, peu importe s'ils peuvent être protégés ou non par l'Adjudicataire et il en fait mention dans le Rapport final.</w:t>
      </w:r>
      <w:bookmarkEnd w:id="73"/>
      <w:r>
        <w:rPr>
          <w:color w:val="70AD47" w:themeColor="accent6"/>
        </w:rPr>
        <w:t xml:space="preserve"> Les informations transmises au Maître d'ouvrage par l'Adjudicataire comprennent des informations sur le contenu des Résultats, la confirmation de l'Adjudicataire concernant la protection des Résultats et le moment prévu de cette protection.</w:t>
      </w:r>
    </w:p>
    <w:p w14:paraId="0AFA3831" w14:textId="638DE520" w:rsidR="00C600BF" w:rsidRPr="00FE3D0E" w:rsidRDefault="00C600BF" w:rsidP="00C600BF">
      <w:pPr>
        <w:pStyle w:val="Listenumros"/>
        <w:numPr>
          <w:ilvl w:val="3"/>
          <w:numId w:val="15"/>
        </w:numPr>
        <w:spacing w:after="160"/>
        <w:contextualSpacing w:val="0"/>
        <w:jc w:val="both"/>
        <w:rPr>
          <w:color w:val="70AD47" w:themeColor="accent6"/>
        </w:rPr>
      </w:pPr>
      <w:r>
        <w:rPr>
          <w:color w:val="70AD47" w:themeColor="accent6"/>
        </w:rPr>
        <w:t xml:space="preserve">Sauf dispositions contraires, comme stipulé notamment à l'Article </w:t>
      </w:r>
      <w:r w:rsidR="00F83DB7">
        <w:rPr>
          <w:color w:val="70AD47" w:themeColor="accent6"/>
        </w:rPr>
        <w:fldChar w:fldCharType="begin"/>
      </w:r>
      <w:r w:rsidR="00F83DB7">
        <w:rPr>
          <w:color w:val="70AD47" w:themeColor="accent6"/>
        </w:rPr>
        <w:instrText xml:space="preserve"> REF _Ref153383020 \n \h </w:instrText>
      </w:r>
      <w:r w:rsidR="00F83DB7">
        <w:rPr>
          <w:color w:val="70AD47" w:themeColor="accent6"/>
        </w:rPr>
      </w:r>
      <w:r w:rsidR="00F83DB7">
        <w:rPr>
          <w:color w:val="70AD47" w:themeColor="accent6"/>
        </w:rPr>
        <w:fldChar w:fldCharType="separate"/>
      </w:r>
      <w:r>
        <w:rPr>
          <w:color w:val="70AD47" w:themeColor="accent6"/>
        </w:rPr>
        <w:t>29.3</w:t>
      </w:r>
      <w:r w:rsidR="00F83DB7">
        <w:rPr>
          <w:color w:val="70AD47" w:themeColor="accent6"/>
        </w:rPr>
        <w:fldChar w:fldCharType="end"/>
      </w:r>
      <w:r>
        <w:rPr>
          <w:color w:val="70AD47" w:themeColor="accent6"/>
        </w:rPr>
        <w:t>, les Résultats sont la propriété exclusive de l'Adjudicataire et peuvent être utilisés par l'Adjudicataire de manière commerciale et non commerciale. L'Adjudicataire assumera donc la responsabilité et les coûts de la gestion, ainsi que la protection des Résultats. L'Adjudicataire peut disposer des droits de propriété aux conditions prévues à cet Article.</w:t>
      </w:r>
    </w:p>
    <w:p w14:paraId="3C4A6FDD" w14:textId="77777777" w:rsidR="00C600BF" w:rsidRPr="00FE3D0E" w:rsidRDefault="00C600BF" w:rsidP="00C600BF">
      <w:pPr>
        <w:pStyle w:val="Listenumros"/>
        <w:numPr>
          <w:ilvl w:val="3"/>
          <w:numId w:val="15"/>
        </w:numPr>
        <w:spacing w:after="160"/>
        <w:contextualSpacing w:val="0"/>
        <w:jc w:val="both"/>
        <w:rPr>
          <w:color w:val="70AD47" w:themeColor="accent6"/>
        </w:rPr>
      </w:pPr>
      <w:r>
        <w:rPr>
          <w:color w:val="70AD47" w:themeColor="accent6"/>
        </w:rPr>
        <w:t>Si l'Adjudicataire ne protège pas suffisamment les Résultats, le Maître d'ouvrage peut demander à ce que la propriété des Résultats lui soit transmise.</w:t>
      </w:r>
    </w:p>
    <w:p w14:paraId="0EB256BE" w14:textId="77777777" w:rsidR="00C600BF" w:rsidRPr="00FE3D0E" w:rsidRDefault="00C600BF" w:rsidP="00C600BF">
      <w:pPr>
        <w:pStyle w:val="Listenumros"/>
        <w:numPr>
          <w:ilvl w:val="3"/>
          <w:numId w:val="15"/>
        </w:numPr>
        <w:spacing w:after="160"/>
        <w:contextualSpacing w:val="0"/>
        <w:jc w:val="both"/>
        <w:rPr>
          <w:color w:val="70AD47" w:themeColor="accent6"/>
        </w:rPr>
      </w:pPr>
      <w:bookmarkStart w:id="74" w:name="_Ref143709973"/>
      <w:r>
        <w:rPr>
          <w:color w:val="70AD47" w:themeColor="accent6"/>
        </w:rPr>
        <w:t>L'Adjudicataire peut transférer la propriété des Résultats à une tierce partie, pour autant que l'Adjudicataire oblige la tierce partie à reprendre les obligations de l'Adjudicataire concernant les Résultats et que celles-ci puissent être exigées par le Maître d'ouvrage. Cette disposition s'applique aussi à un éventuel transfert ultérieur.</w:t>
      </w:r>
      <w:bookmarkEnd w:id="74"/>
    </w:p>
    <w:p w14:paraId="6AB66840" w14:textId="204A63A8" w:rsidR="00C600BF" w:rsidRPr="00FE3D0E" w:rsidRDefault="00C600BF" w:rsidP="00C600BF">
      <w:pPr>
        <w:pStyle w:val="Listenumros"/>
        <w:numPr>
          <w:ilvl w:val="3"/>
          <w:numId w:val="15"/>
        </w:numPr>
        <w:spacing w:after="160"/>
        <w:contextualSpacing w:val="0"/>
        <w:jc w:val="both"/>
        <w:rPr>
          <w:color w:val="70AD47" w:themeColor="accent6"/>
        </w:rPr>
      </w:pPr>
      <w:r>
        <w:rPr>
          <w:color w:val="70AD47" w:themeColor="accent6"/>
        </w:rPr>
        <w:t xml:space="preserve">Avant que l'Adjudicataire ne procède à un transfert comme mentionné à l'Article </w:t>
      </w:r>
      <w:r w:rsidRPr="00FE3D0E">
        <w:rPr>
          <w:color w:val="70AD47" w:themeColor="accent6"/>
        </w:rPr>
        <w:fldChar w:fldCharType="begin"/>
      </w:r>
      <w:r w:rsidRPr="00FE3D0E">
        <w:rPr>
          <w:color w:val="70AD47" w:themeColor="accent6"/>
        </w:rPr>
        <w:instrText xml:space="preserve"> REF _Ref143709973 \n \h  \* MERGEFORMAT </w:instrText>
      </w:r>
      <w:r w:rsidRPr="00FE3D0E">
        <w:rPr>
          <w:color w:val="70AD47" w:themeColor="accent6"/>
        </w:rPr>
      </w:r>
      <w:r w:rsidRPr="00FE3D0E">
        <w:rPr>
          <w:color w:val="70AD47" w:themeColor="accent6"/>
        </w:rPr>
        <w:fldChar w:fldCharType="separate"/>
      </w:r>
      <w:r>
        <w:rPr>
          <w:color w:val="70AD47" w:themeColor="accent6"/>
        </w:rPr>
        <w:t>31.4</w:t>
      </w:r>
      <w:r w:rsidRPr="00FE3D0E">
        <w:rPr>
          <w:color w:val="70AD47" w:themeColor="accent6"/>
        </w:rPr>
        <w:fldChar w:fldCharType="end"/>
      </w:r>
      <w:r>
        <w:rPr>
          <w:color w:val="70AD47" w:themeColor="accent6"/>
        </w:rPr>
        <w:t>, il informera le Maître d'ouvrage par écrit au moins quarante-</w:t>
      </w:r>
      <w:r>
        <w:rPr>
          <w:color w:val="70AD47" w:themeColor="accent6"/>
        </w:rPr>
        <w:lastRenderedPageBreak/>
        <w:t>cinq (45) jours à l'avance de son intention de transférer la propriété des Résultats. Ce faisant, il mentionnera les coordonnées du nouveau propriétaire, permettant au Maître d'ouvrage d'évaluer les conséquences pour leurs droits d'accès. Le Maître d'ouvrage peut s'opposer dans les trente (30) jours suivant la réception de la notification, s'il peut prouver que ses droits d'accès seront impactés négativement. Si le Maître d'ouvrage s'oppose au transfert, celui-ci ne pourra pas avoir lieu jusqu'à ce qu'un accord soit trouvé entre l'Adjudicataire et le Maître d'ouvrage concernant les modalités de transfert et en particulier la manière dont les droits d'accès du Maître d'ouvrage seront garantis.</w:t>
      </w:r>
    </w:p>
    <w:p w14:paraId="72CA460D" w14:textId="77777777" w:rsidR="00C600BF" w:rsidRPr="00FE3D0E" w:rsidRDefault="00C600BF" w:rsidP="00C600BF">
      <w:pPr>
        <w:pStyle w:val="Listenumros"/>
        <w:numPr>
          <w:ilvl w:val="3"/>
          <w:numId w:val="15"/>
        </w:numPr>
        <w:spacing w:after="160"/>
        <w:contextualSpacing w:val="0"/>
        <w:jc w:val="both"/>
        <w:rPr>
          <w:color w:val="70AD47" w:themeColor="accent6"/>
        </w:rPr>
      </w:pPr>
      <w:r>
        <w:rPr>
          <w:color w:val="70AD47" w:themeColor="accent6"/>
        </w:rPr>
        <w:t>En tout cas, l'Adjudicataire octroie au Maître d'ouvrage et aux entités liées au Maître d'ouvrage une licence libre de royalties, mondiale, non exclusive, irrévocable et ne pouvant pas faire l'objet d'une sous-licence pour l'utilisation des Résultats à leurs propres finalités non commerciales pendant et après la fin du Contrat.</w:t>
      </w:r>
    </w:p>
    <w:p w14:paraId="54EE42A7" w14:textId="77777777" w:rsidR="00C600BF" w:rsidRPr="00FE3D0E" w:rsidRDefault="00C600BF" w:rsidP="00C600BF">
      <w:pPr>
        <w:pStyle w:val="Listenumros"/>
        <w:numPr>
          <w:ilvl w:val="3"/>
          <w:numId w:val="15"/>
        </w:numPr>
        <w:spacing w:after="160"/>
        <w:contextualSpacing w:val="0"/>
        <w:jc w:val="both"/>
        <w:rPr>
          <w:color w:val="70AD47" w:themeColor="accent6"/>
        </w:rPr>
      </w:pPr>
      <w:r>
        <w:rPr>
          <w:color w:val="70AD47" w:themeColor="accent6"/>
        </w:rPr>
        <w:t>Si nécessaire pour assurer le bon usage des Résultats, l'Adjudicataire octroie au Maître d'ouvrage et aux entités liées au Maître d'ouvrage une licence pour utiliser le Savoir aux Conditions du marché.</w:t>
      </w:r>
    </w:p>
    <w:p w14:paraId="537FEA17" w14:textId="77777777" w:rsidR="00C600BF" w:rsidRPr="00FE3D0E" w:rsidRDefault="00C600BF" w:rsidP="00C600BF">
      <w:pPr>
        <w:pStyle w:val="Listenumros"/>
        <w:numPr>
          <w:ilvl w:val="3"/>
          <w:numId w:val="15"/>
        </w:numPr>
        <w:spacing w:after="160"/>
        <w:contextualSpacing w:val="0"/>
        <w:jc w:val="both"/>
        <w:rPr>
          <w:color w:val="70AD47" w:themeColor="accent6"/>
        </w:rPr>
      </w:pPr>
      <w:r>
        <w:rPr>
          <w:color w:val="70AD47" w:themeColor="accent6"/>
        </w:rPr>
        <w:t>Sur demande du Maître d'ouvrage, l'Adjudicataire octroie dans un délai raisonnable aux tiers des licences non exclusives et ne pouvant pas faire l'objet d'une sous-licence, aux Conditions du marché, pour l'usage commercial et le cas échéant non commercial des Résultats et, le cas échéant, du Savoir nécessaire pour assurer le bon usage des Résultats.</w:t>
      </w:r>
    </w:p>
    <w:p w14:paraId="6D4463FF" w14:textId="77777777" w:rsidR="00C600BF" w:rsidRPr="00FE3D0E" w:rsidRDefault="00C600BF" w:rsidP="00C600BF">
      <w:pPr>
        <w:pStyle w:val="Listenumros"/>
        <w:numPr>
          <w:ilvl w:val="3"/>
          <w:numId w:val="15"/>
        </w:numPr>
        <w:spacing w:after="160"/>
        <w:contextualSpacing w:val="0"/>
        <w:jc w:val="both"/>
        <w:rPr>
          <w:color w:val="70AD47" w:themeColor="accent6"/>
        </w:rPr>
      </w:pPr>
      <w:r>
        <w:rPr>
          <w:color w:val="70AD47" w:themeColor="accent6"/>
        </w:rPr>
        <w:t>L'Adjudicataire veille à ce que les Résultats développés par les Sous-traitants et/ou les tiers qu'il désigne dans le cadre de ce Marché puissent être utilisés par le Maître d'ouvrage dans les mêmes conditions que celles prévues dans cet Article.</w:t>
      </w:r>
    </w:p>
    <w:p w14:paraId="1369E907" w14:textId="7A705C18" w:rsidR="00C600BF" w:rsidRPr="00FE3D0E" w:rsidRDefault="00C600BF" w:rsidP="00C600BF">
      <w:pPr>
        <w:pStyle w:val="Listenumros"/>
        <w:numPr>
          <w:ilvl w:val="3"/>
          <w:numId w:val="15"/>
        </w:numPr>
        <w:spacing w:after="160"/>
        <w:contextualSpacing w:val="0"/>
        <w:jc w:val="both"/>
        <w:rPr>
          <w:color w:val="70AD47" w:themeColor="accent6"/>
        </w:rPr>
      </w:pPr>
      <w:r>
        <w:rPr>
          <w:color w:val="70AD47" w:themeColor="accent6"/>
        </w:rPr>
        <w:t>L'Adjudicataire doit, à tout moment pendant l'exécution du Contrat et jusqu'à quatre (4) ans après la fin du Contrat, fournir gratuitement et à la première demande toutes les informations demandées par le Maître d'ouvrage en ce qui concerne le Marché et les Résultats.</w:t>
      </w:r>
    </w:p>
    <w:p w14:paraId="659E86DB" w14:textId="56308E6F" w:rsidR="00F26BE8" w:rsidRDefault="00F26BE8" w:rsidP="00F26BE8">
      <w:pPr>
        <w:pStyle w:val="Titre1"/>
      </w:pPr>
      <w:bookmarkStart w:id="75" w:name="_Toc215498998"/>
      <w:r>
        <w:t>Dispositions spécifiques relatives à la livraison de biens</w:t>
      </w:r>
      <w:bookmarkEnd w:id="75"/>
    </w:p>
    <w:p w14:paraId="04DA8B6B" w14:textId="3AA6FC21" w:rsidR="000C0179" w:rsidRPr="000C0179" w:rsidRDefault="000C0179" w:rsidP="000C0179">
      <w:pPr>
        <w:jc w:val="both"/>
        <w:rPr>
          <w:color w:val="FF0000"/>
        </w:rPr>
      </w:pPr>
      <w:r>
        <w:rPr>
          <w:color w:val="FF0000"/>
        </w:rPr>
        <w:t>Le Marché peut en outre également porter sur la livraison de biens, par exemple des biens innovants qui sont achetés par le pouvoir adjudicateur. Dans ce cas, ces dispositions peuvent être reprises dans le Contrat. Si les livraisons dépendent des Services de Recherche et de Développement, cela doit aussi être stipulé de cette manière. Un point de départ à cet effet figure à l'</w:t>
      </w:r>
      <w:r>
        <w:rPr>
          <w:color w:val="FF0000"/>
        </w:rPr>
        <w:fldChar w:fldCharType="begin"/>
      </w:r>
      <w:r>
        <w:rPr>
          <w:color w:val="FF0000"/>
        </w:rPr>
        <w:instrText xml:space="preserve"> REF _Ref153380927 \r \h </w:instrText>
      </w:r>
      <w:r>
        <w:rPr>
          <w:color w:val="FF0000"/>
        </w:rPr>
      </w:r>
      <w:r>
        <w:rPr>
          <w:color w:val="FF0000"/>
        </w:rPr>
        <w:fldChar w:fldCharType="separate"/>
      </w:r>
      <w:r>
        <w:rPr>
          <w:color w:val="FF0000"/>
        </w:rPr>
        <w:t>Article 33</w:t>
      </w:r>
      <w:r>
        <w:rPr>
          <w:color w:val="FF0000"/>
        </w:rPr>
        <w:fldChar w:fldCharType="end"/>
      </w:r>
      <w:r>
        <w:rPr>
          <w:color w:val="FF0000"/>
        </w:rPr>
        <w:t>, qui doit dans ce cas être déclaré d'application.</w:t>
      </w:r>
    </w:p>
    <w:p w14:paraId="69632905" w14:textId="57EF1D49" w:rsidR="008B4454" w:rsidRPr="008B4454" w:rsidRDefault="00C911DA" w:rsidP="008B4454">
      <w:pPr>
        <w:pStyle w:val="Titre3"/>
      </w:pPr>
      <w:bookmarkStart w:id="76" w:name="_Toc215498999"/>
      <w:r>
        <w:t>Livraisons</w:t>
      </w:r>
      <w:bookmarkEnd w:id="76"/>
    </w:p>
    <w:p w14:paraId="1DA35BB7" w14:textId="4DA10A81" w:rsidR="00F26BE8" w:rsidRDefault="006314F1" w:rsidP="00C159D4">
      <w:pPr>
        <w:pStyle w:val="Listenumros"/>
        <w:numPr>
          <w:ilvl w:val="3"/>
          <w:numId w:val="15"/>
        </w:numPr>
        <w:spacing w:after="160"/>
        <w:contextualSpacing w:val="0"/>
        <w:jc w:val="both"/>
      </w:pPr>
      <w:bookmarkStart w:id="77" w:name="_Ref153385827"/>
      <w:r>
        <w:t>Les livraisons sont assurées à l'endroit communiqué par le Maître d'ouvrage.</w:t>
      </w:r>
      <w:bookmarkEnd w:id="77"/>
    </w:p>
    <w:p w14:paraId="749A8693" w14:textId="0EA2B2F7" w:rsidR="002E5F6D" w:rsidRDefault="002E5F6D" w:rsidP="00C159D4">
      <w:pPr>
        <w:pStyle w:val="Listenumros"/>
        <w:numPr>
          <w:ilvl w:val="3"/>
          <w:numId w:val="15"/>
        </w:numPr>
        <w:spacing w:after="160"/>
        <w:contextualSpacing w:val="0"/>
        <w:jc w:val="both"/>
      </w:pPr>
      <w:r>
        <w:lastRenderedPageBreak/>
        <w:t>L'Adjudicataire dresse pour chaque livraison un bon de livraison qui est remis au Maître d'ouvrage au moment de la livraison. Le bon de livraison comprend tous les biens livrés à ce moment-là.</w:t>
      </w:r>
    </w:p>
    <w:p w14:paraId="086E72DD" w14:textId="38FDAD65" w:rsidR="006314F1" w:rsidRDefault="006314F1" w:rsidP="00C159D4">
      <w:pPr>
        <w:pStyle w:val="Listenumros"/>
        <w:numPr>
          <w:ilvl w:val="3"/>
          <w:numId w:val="15"/>
        </w:numPr>
        <w:spacing w:after="160"/>
        <w:contextualSpacing w:val="0"/>
        <w:jc w:val="both"/>
      </w:pPr>
      <w:r>
        <w:t>Le Maître d'ouvrage vérifie la livraison conformément à l'article 120 de l'AR</w:t>
      </w:r>
      <w:r w:rsidR="00DF233B">
        <w:t> </w:t>
      </w:r>
      <w:r>
        <w:t>Exécution et vérifie dans le délai prévu à l'article 120 AR Exécution si la livraison comprend tous les biens mentionnés sur le bon de commande.</w:t>
      </w:r>
    </w:p>
    <w:p w14:paraId="095F1792" w14:textId="4AC0F11C" w:rsidR="006314F1" w:rsidRDefault="006314F1" w:rsidP="006314F1">
      <w:pPr>
        <w:pStyle w:val="Titre3"/>
      </w:pPr>
      <w:bookmarkStart w:id="78" w:name="_Toc215499000"/>
      <w:r>
        <w:t>Délai de livraison</w:t>
      </w:r>
      <w:bookmarkEnd w:id="78"/>
    </w:p>
    <w:p w14:paraId="12DE1487" w14:textId="30393586" w:rsidR="006314F1" w:rsidRDefault="006314F1" w:rsidP="006314F1">
      <w:pPr>
        <w:pStyle w:val="Listenumros"/>
        <w:numPr>
          <w:ilvl w:val="3"/>
          <w:numId w:val="15"/>
        </w:numPr>
        <w:spacing w:after="160"/>
        <w:contextualSpacing w:val="0"/>
        <w:jc w:val="both"/>
      </w:pPr>
      <w:r>
        <w:t>Le délai de livraison est fixé à [</w:t>
      </w:r>
      <w:r w:rsidRPr="006314F1">
        <w:rPr>
          <w:highlight w:val="lightGray"/>
        </w:rPr>
        <w:t>indiquer un nombre</w:t>
      </w:r>
      <w:r>
        <w:t>] Jours ouvrables. À titre dérogatoire, le Maître d'ouvrage peut tenir compte d'un délai de livraison plus long.</w:t>
      </w:r>
    </w:p>
    <w:p w14:paraId="4516021D" w14:textId="77C58DB9" w:rsidR="006314F1" w:rsidRPr="006314F1" w:rsidRDefault="006314F1" w:rsidP="006314F1">
      <w:pPr>
        <w:pStyle w:val="Listenumros"/>
        <w:spacing w:after="160"/>
        <w:ind w:left="1701"/>
        <w:contextualSpacing w:val="0"/>
        <w:jc w:val="both"/>
        <w:rPr>
          <w:color w:val="FF0000"/>
        </w:rPr>
      </w:pPr>
      <w:r>
        <w:rPr>
          <w:color w:val="FF0000"/>
        </w:rPr>
        <w:t>Si plusieurs commandes sont réalisées.</w:t>
      </w:r>
    </w:p>
    <w:p w14:paraId="7C1822C3" w14:textId="290ACB3A" w:rsidR="006314F1" w:rsidRPr="006314F1" w:rsidRDefault="006314F1" w:rsidP="006314F1">
      <w:pPr>
        <w:pStyle w:val="Listenumros"/>
        <w:numPr>
          <w:ilvl w:val="3"/>
          <w:numId w:val="15"/>
        </w:numPr>
        <w:spacing w:after="160"/>
        <w:contextualSpacing w:val="0"/>
        <w:jc w:val="both"/>
        <w:rPr>
          <w:color w:val="70AD47" w:themeColor="accent6"/>
        </w:rPr>
      </w:pPr>
      <w:r>
        <w:rPr>
          <w:color w:val="70AD47" w:themeColor="accent6"/>
        </w:rPr>
        <w:t xml:space="preserve">Le Maître d'ouvrage indiquera la date de livraison spécifique par commande. Cette date de livraison tient compte d'un délai de livraison minimal du nombre de Jours ouvrables fixé à l'Article </w:t>
      </w:r>
      <w:r>
        <w:rPr>
          <w:color w:val="70AD47" w:themeColor="accent6"/>
        </w:rPr>
        <w:fldChar w:fldCharType="begin"/>
      </w:r>
      <w:r>
        <w:rPr>
          <w:color w:val="70AD47" w:themeColor="accent6"/>
        </w:rPr>
        <w:instrText xml:space="preserve"> REF _Ref153385827 \n \h </w:instrText>
      </w:r>
      <w:r>
        <w:rPr>
          <w:color w:val="70AD47" w:themeColor="accent6"/>
        </w:rPr>
      </w:r>
      <w:r>
        <w:rPr>
          <w:color w:val="70AD47" w:themeColor="accent6"/>
        </w:rPr>
        <w:fldChar w:fldCharType="separate"/>
      </w:r>
      <w:r>
        <w:rPr>
          <w:color w:val="70AD47" w:themeColor="accent6"/>
        </w:rPr>
        <w:t>32.1</w:t>
      </w:r>
      <w:r>
        <w:rPr>
          <w:color w:val="70AD47" w:themeColor="accent6"/>
        </w:rPr>
        <w:fldChar w:fldCharType="end"/>
      </w:r>
      <w:r>
        <w:rPr>
          <w:color w:val="70AD47" w:themeColor="accent6"/>
        </w:rPr>
        <w:t>.</w:t>
      </w:r>
    </w:p>
    <w:p w14:paraId="203F5E1F" w14:textId="56C518AD" w:rsidR="006314F1" w:rsidRDefault="006314F1" w:rsidP="00C159D4">
      <w:pPr>
        <w:pStyle w:val="Listenumros"/>
        <w:numPr>
          <w:ilvl w:val="3"/>
          <w:numId w:val="15"/>
        </w:numPr>
        <w:spacing w:after="160"/>
        <w:contextualSpacing w:val="0"/>
        <w:jc w:val="both"/>
      </w:pPr>
      <w:r>
        <w:t>Si le délai de livraison est dépassé, le Maître d'ouvrage peut facturer des amendes de retard en application de l'article 123 AR Exécution.</w:t>
      </w:r>
    </w:p>
    <w:p w14:paraId="72816857" w14:textId="5CB25118" w:rsidR="000C0179" w:rsidRPr="002E5F6D" w:rsidRDefault="000C0179" w:rsidP="000C0179">
      <w:pPr>
        <w:pStyle w:val="Titre3"/>
        <w:rPr>
          <w:color w:val="70AD47" w:themeColor="accent6"/>
        </w:rPr>
      </w:pPr>
      <w:bookmarkStart w:id="79" w:name="_Ref153380927"/>
      <w:bookmarkStart w:id="80" w:name="_Toc215499001"/>
      <w:r>
        <w:rPr>
          <w:color w:val="70AD47" w:themeColor="accent6"/>
        </w:rPr>
        <w:t>Partie conditionnelle</w:t>
      </w:r>
      <w:bookmarkEnd w:id="79"/>
      <w:bookmarkEnd w:id="80"/>
    </w:p>
    <w:p w14:paraId="2444CF28" w14:textId="76F1BCCD" w:rsidR="000C0179" w:rsidRPr="002E5F6D" w:rsidRDefault="00C911DA" w:rsidP="00C159D4">
      <w:pPr>
        <w:pStyle w:val="Listenumros"/>
        <w:numPr>
          <w:ilvl w:val="3"/>
          <w:numId w:val="15"/>
        </w:numPr>
        <w:spacing w:after="160"/>
        <w:contextualSpacing w:val="0"/>
        <w:jc w:val="both"/>
        <w:rPr>
          <w:color w:val="70AD47" w:themeColor="accent6"/>
        </w:rPr>
      </w:pPr>
      <w:r>
        <w:rPr>
          <w:color w:val="70AD47" w:themeColor="accent6"/>
        </w:rPr>
        <w:t>Les livraisons qui doivent être assurées à la lumière du Marché dépendent de la réussite de la partie Services de Recherche et de Développement. Le Maître d'ouvrage peut, sans que d'autres motifs soient nécessaire</w:t>
      </w:r>
      <w:r w:rsidR="00DF233B">
        <w:rPr>
          <w:color w:val="70AD47" w:themeColor="accent6"/>
        </w:rPr>
        <w:t>s</w:t>
      </w:r>
      <w:r>
        <w:rPr>
          <w:color w:val="70AD47" w:themeColor="accent6"/>
        </w:rPr>
        <w:t xml:space="preserve"> à cet effet, décider de ne pas faire exécuter cette partie du Marché. L'Adjudicataire ne réclamera dans ce cas aucune indemnisation.</w:t>
      </w:r>
    </w:p>
    <w:p w14:paraId="64BACF6D" w14:textId="77777777" w:rsidR="00C159D4" w:rsidRPr="00C159D4" w:rsidRDefault="00C159D4" w:rsidP="00C159D4"/>
    <w:p w14:paraId="6EC473EF" w14:textId="15FFA8DE" w:rsidR="00730489" w:rsidRDefault="006D3C53" w:rsidP="00730489">
      <w:pPr>
        <w:pStyle w:val="Titre1"/>
      </w:pPr>
      <w:bookmarkStart w:id="81" w:name="_Toc215499002"/>
      <w:r>
        <w:t>Dispositions financières</w:t>
      </w:r>
      <w:bookmarkEnd w:id="81"/>
    </w:p>
    <w:p w14:paraId="595759FA" w14:textId="3041A098" w:rsidR="00F26BE8" w:rsidRDefault="00F26BE8" w:rsidP="00F26BE8">
      <w:pPr>
        <w:jc w:val="both"/>
        <w:rPr>
          <w:color w:val="FF0000"/>
        </w:rPr>
      </w:pPr>
      <w:r>
        <w:rPr>
          <w:color w:val="FF0000"/>
        </w:rPr>
        <w:t>Les dispositions reprises dans ce chapitre renvoient surtout aux dispositions pertinentes de l'AR Exécution. Des choix doivent être opérés sur plusieurs points dans la disposition, dépendant notamment du fait qu'il s'agisse de services à prester ou qu'il s'agisse de livraisons spécifiques qui doivent être exécutées et qui sont associées ou non aux services commandés.</w:t>
      </w:r>
    </w:p>
    <w:p w14:paraId="510AA592" w14:textId="482D594C" w:rsidR="000C0179" w:rsidRPr="00F26BE8" w:rsidRDefault="000C0179" w:rsidP="000C0179">
      <w:pPr>
        <w:pStyle w:val="Titre2"/>
      </w:pPr>
      <w:bookmarkStart w:id="82" w:name="_Toc215499003"/>
      <w:r>
        <w:t>Cautionnement</w:t>
      </w:r>
      <w:bookmarkEnd w:id="82"/>
    </w:p>
    <w:p w14:paraId="0CD9E029" w14:textId="5562D5E4" w:rsidR="005C5254" w:rsidRDefault="00730489" w:rsidP="005C5254">
      <w:pPr>
        <w:pStyle w:val="Titre3"/>
      </w:pPr>
      <w:bookmarkStart w:id="83" w:name="_Toc215499004"/>
      <w:r>
        <w:t>Cautionnement</w:t>
      </w:r>
      <w:bookmarkEnd w:id="83"/>
    </w:p>
    <w:p w14:paraId="3FAA6CE4" w14:textId="160E1CBD" w:rsidR="00DE7E44" w:rsidRPr="00DE7E44" w:rsidRDefault="00DE7E44" w:rsidP="00DE7E44">
      <w:pPr>
        <w:pStyle w:val="Listenumros"/>
        <w:spacing w:after="160"/>
        <w:ind w:left="1701"/>
        <w:contextualSpacing w:val="0"/>
        <w:jc w:val="both"/>
        <w:rPr>
          <w:color w:val="FF0000"/>
        </w:rPr>
      </w:pPr>
      <w:r>
        <w:rPr>
          <w:color w:val="FF0000"/>
        </w:rPr>
        <w:t>On peut déterminer qu'un cautionnement doit être payé pour l'exécution du marché. En soi, ce n'est pas inhabituel et cela suit les dispositions de l'AR</w:t>
      </w:r>
      <w:r w:rsidR="00DF233B">
        <w:rPr>
          <w:color w:val="FF0000"/>
        </w:rPr>
        <w:t> </w:t>
      </w:r>
      <w:r>
        <w:rPr>
          <w:color w:val="FF0000"/>
        </w:rPr>
        <w:t>Exécution. On peut toutefois également décider de ne pas demander de cautionnement. Dans ce cas, une telle disposition doit être reprise. Nous abordons les deux options ci-dessous.</w:t>
      </w:r>
    </w:p>
    <w:p w14:paraId="6281408A" w14:textId="0AC0A22E" w:rsidR="00DE7E44" w:rsidRPr="00DE7E44" w:rsidRDefault="00DE7E44" w:rsidP="00DE7E44">
      <w:pPr>
        <w:pStyle w:val="Listenumros"/>
        <w:spacing w:after="160"/>
        <w:ind w:left="1701"/>
        <w:contextualSpacing w:val="0"/>
        <w:jc w:val="both"/>
        <w:rPr>
          <w:color w:val="FF0000"/>
        </w:rPr>
      </w:pPr>
      <w:r>
        <w:rPr>
          <w:color w:val="FF0000"/>
        </w:rPr>
        <w:t>Si aucun cautionnement n'est demandé, cette disposition doit être utilisée :</w:t>
      </w:r>
    </w:p>
    <w:p w14:paraId="63313164" w14:textId="524C3B5C" w:rsidR="00DE7E44" w:rsidRPr="00DE7E44" w:rsidRDefault="00DE7E44" w:rsidP="005C5254">
      <w:pPr>
        <w:pStyle w:val="Listenumros"/>
        <w:numPr>
          <w:ilvl w:val="3"/>
          <w:numId w:val="15"/>
        </w:numPr>
        <w:spacing w:after="160"/>
        <w:contextualSpacing w:val="0"/>
        <w:jc w:val="both"/>
        <w:rPr>
          <w:color w:val="70AD47" w:themeColor="accent6"/>
        </w:rPr>
      </w:pPr>
      <w:r>
        <w:rPr>
          <w:color w:val="70AD47" w:themeColor="accent6"/>
        </w:rPr>
        <w:t>Aucun cautionnement n’est exigé pour l’exécution du Marché.</w:t>
      </w:r>
    </w:p>
    <w:p w14:paraId="54594F40" w14:textId="7A0268FF" w:rsidR="00DE7E44" w:rsidRPr="00DE7E44" w:rsidRDefault="00DE7E44" w:rsidP="00DE7E44">
      <w:pPr>
        <w:pStyle w:val="Listenumros"/>
        <w:spacing w:after="160"/>
        <w:ind w:left="1701"/>
        <w:contextualSpacing w:val="0"/>
        <w:jc w:val="both"/>
        <w:rPr>
          <w:color w:val="FF0000"/>
        </w:rPr>
      </w:pPr>
      <w:r>
        <w:rPr>
          <w:color w:val="FF0000"/>
        </w:rPr>
        <w:lastRenderedPageBreak/>
        <w:t>Si un cautionnement devait être demandé, les dispositions suivantes peuvent être reprises :</w:t>
      </w:r>
    </w:p>
    <w:p w14:paraId="4161F80E" w14:textId="1EAF5ACE" w:rsidR="005C5254" w:rsidRPr="000C0179" w:rsidRDefault="00DE7E44" w:rsidP="005C5254">
      <w:pPr>
        <w:pStyle w:val="Listenumros"/>
        <w:numPr>
          <w:ilvl w:val="3"/>
          <w:numId w:val="15"/>
        </w:numPr>
        <w:spacing w:after="160"/>
        <w:contextualSpacing w:val="0"/>
        <w:jc w:val="both"/>
        <w:rPr>
          <w:color w:val="70AD47" w:themeColor="accent6"/>
        </w:rPr>
      </w:pPr>
      <w:r>
        <w:rPr>
          <w:color w:val="70AD47" w:themeColor="accent6"/>
        </w:rPr>
        <w:t>L'Adjudicataire constitue pour le Marché un cautionnement qui vaudra comme garantie financière pour le Maître d'ouvrage de l'exécution correcte, ponctuelle et intégrale du Marché par l'Adjudicataire.</w:t>
      </w:r>
    </w:p>
    <w:p w14:paraId="27C93F6E" w14:textId="21E6B493" w:rsidR="00DE7E44" w:rsidRPr="000C0179" w:rsidRDefault="00DE7E44" w:rsidP="005C5254">
      <w:pPr>
        <w:pStyle w:val="Listenumros"/>
        <w:numPr>
          <w:ilvl w:val="3"/>
          <w:numId w:val="15"/>
        </w:numPr>
        <w:spacing w:after="160"/>
        <w:contextualSpacing w:val="0"/>
        <w:jc w:val="both"/>
        <w:rPr>
          <w:color w:val="70AD47" w:themeColor="accent6"/>
        </w:rPr>
      </w:pPr>
      <w:r>
        <w:rPr>
          <w:color w:val="70AD47" w:themeColor="accent6"/>
        </w:rPr>
        <w:t>Le cautionnement est constitué pour un montant s'élevant à cinq (5) pour cent de la valeur du Marché, conformément à l'une des manières précisées à l'article 27 de l'AR Exécution.</w:t>
      </w:r>
    </w:p>
    <w:p w14:paraId="606BB5FD" w14:textId="2310C9D9" w:rsidR="00DE7E44" w:rsidRPr="000C0179" w:rsidRDefault="002B2D1C" w:rsidP="005C5254">
      <w:pPr>
        <w:pStyle w:val="Listenumros"/>
        <w:numPr>
          <w:ilvl w:val="3"/>
          <w:numId w:val="15"/>
        </w:numPr>
        <w:spacing w:after="160"/>
        <w:contextualSpacing w:val="0"/>
        <w:jc w:val="both"/>
        <w:rPr>
          <w:color w:val="70AD47" w:themeColor="accent6"/>
        </w:rPr>
      </w:pPr>
      <w:r>
        <w:rPr>
          <w:color w:val="70AD47" w:themeColor="accent6"/>
        </w:rPr>
        <w:t>Le cautionnement est constitué au plus tard le trentième (30</w:t>
      </w:r>
      <w:r w:rsidRPr="000C0179">
        <w:rPr>
          <w:color w:val="70AD47" w:themeColor="accent6"/>
          <w:vertAlign w:val="superscript"/>
        </w:rPr>
        <w:t>e</w:t>
      </w:r>
      <w:r>
        <w:rPr>
          <w:color w:val="70AD47" w:themeColor="accent6"/>
        </w:rPr>
        <w:t>) jour calendrier suivant la date de signature du Contrat.</w:t>
      </w:r>
    </w:p>
    <w:p w14:paraId="1571457A" w14:textId="36E9F2FA" w:rsidR="002B2D1C" w:rsidRPr="000C0179" w:rsidRDefault="002B2D1C" w:rsidP="005C5254">
      <w:pPr>
        <w:pStyle w:val="Listenumros"/>
        <w:numPr>
          <w:ilvl w:val="3"/>
          <w:numId w:val="15"/>
        </w:numPr>
        <w:spacing w:after="160"/>
        <w:contextualSpacing w:val="0"/>
        <w:jc w:val="both"/>
        <w:rPr>
          <w:color w:val="70AD47" w:themeColor="accent6"/>
        </w:rPr>
      </w:pPr>
      <w:r>
        <w:rPr>
          <w:color w:val="70AD47" w:themeColor="accent6"/>
        </w:rPr>
        <w:t>En cas d'exécution tardive et/ou de non-exécution totale ou partielle du Marché, le Maître d'ouvrage a le droit de retenir les éventuels montants dus par l'Adjudicataire sur le cautionnement, pour autant qu'ils ne puissent pas être prélevés sur les montants exigibles par l'Adjudicataire.</w:t>
      </w:r>
    </w:p>
    <w:p w14:paraId="5721FD04" w14:textId="14E5E048" w:rsidR="000C0179" w:rsidRDefault="000C0179" w:rsidP="005C5254">
      <w:pPr>
        <w:pStyle w:val="Listenumros"/>
        <w:numPr>
          <w:ilvl w:val="3"/>
          <w:numId w:val="15"/>
        </w:numPr>
        <w:spacing w:after="160"/>
        <w:contextualSpacing w:val="0"/>
        <w:jc w:val="both"/>
        <w:rPr>
          <w:color w:val="70AD47" w:themeColor="accent6"/>
        </w:rPr>
      </w:pPr>
      <w:r>
        <w:rPr>
          <w:color w:val="70AD47" w:themeColor="accent6"/>
        </w:rPr>
        <w:t>L'Adjudicataire doit expressément demander la libération du cautionnement conformément aux modalités de l'article 33 AR Exécution.</w:t>
      </w:r>
    </w:p>
    <w:p w14:paraId="375B41ED" w14:textId="100E12C6" w:rsidR="009A3AD9" w:rsidRDefault="009A3AD9" w:rsidP="000C0179">
      <w:pPr>
        <w:pStyle w:val="Titre2"/>
      </w:pPr>
      <w:bookmarkStart w:id="84" w:name="_Toc215499005"/>
      <w:r>
        <w:t>Prix et coûts</w:t>
      </w:r>
      <w:bookmarkEnd w:id="84"/>
    </w:p>
    <w:p w14:paraId="06B05C34" w14:textId="77777777" w:rsidR="009A3AD9" w:rsidRDefault="009A3AD9" w:rsidP="009A3AD9">
      <w:pPr>
        <w:pStyle w:val="Titre3"/>
      </w:pPr>
      <w:bookmarkStart w:id="85" w:name="_Toc215499006"/>
      <w:r>
        <w:t>Prix et coûts</w:t>
      </w:r>
      <w:bookmarkEnd w:id="85"/>
    </w:p>
    <w:p w14:paraId="36CDEE43" w14:textId="77777777" w:rsidR="009A3AD9" w:rsidRDefault="009A3AD9" w:rsidP="009A3AD9">
      <w:pPr>
        <w:pStyle w:val="Listenumros"/>
        <w:numPr>
          <w:ilvl w:val="3"/>
          <w:numId w:val="15"/>
        </w:numPr>
        <w:spacing w:after="160"/>
        <w:contextualSpacing w:val="0"/>
        <w:jc w:val="both"/>
      </w:pPr>
      <w:r>
        <w:t>Le Marché doit être exécuté conformément au prix indiqué dans l'Offre, compte tenu des dispositions spécifiques prévues dans le Guide d'attribution.</w:t>
      </w:r>
    </w:p>
    <w:p w14:paraId="2F41B458" w14:textId="72D72707" w:rsidR="009A3AD9" w:rsidRDefault="009A3AD9" w:rsidP="009A3AD9">
      <w:pPr>
        <w:pStyle w:val="Listenumros"/>
        <w:numPr>
          <w:ilvl w:val="3"/>
          <w:numId w:val="15"/>
        </w:numPr>
        <w:spacing w:after="160"/>
        <w:contextualSpacing w:val="0"/>
        <w:jc w:val="both"/>
      </w:pPr>
      <w:r>
        <w:t>Tous les coûts que l'Adjudicataire doit encourir pour respecter les obligations susmentionnées ou suite aux obligations citées ci-dessous sont à sa charge et sont considérés comme compris dans le prix.</w:t>
      </w:r>
    </w:p>
    <w:p w14:paraId="6D57B160" w14:textId="276D4DB4" w:rsidR="009A3AD9" w:rsidRPr="0046402B" w:rsidRDefault="009A3AD9" w:rsidP="0046402B">
      <w:pPr>
        <w:pStyle w:val="Titre3"/>
        <w:jc w:val="both"/>
        <w:rPr>
          <w:color w:val="70AD47" w:themeColor="accent6"/>
        </w:rPr>
      </w:pPr>
      <w:bookmarkStart w:id="86" w:name="_Toc215499007"/>
      <w:r>
        <w:rPr>
          <w:color w:val="70AD47" w:themeColor="accent6"/>
        </w:rPr>
        <w:t>Révision de prix pour la composante Services de Recherche et de Développement</w:t>
      </w:r>
      <w:bookmarkEnd w:id="86"/>
    </w:p>
    <w:p w14:paraId="6CC6AB51" w14:textId="6A0839C9" w:rsidR="009A3AD9" w:rsidRPr="009A3AD9" w:rsidRDefault="009A3AD9" w:rsidP="009A3AD9">
      <w:pPr>
        <w:pStyle w:val="Listenumros"/>
        <w:spacing w:after="160"/>
        <w:ind w:left="1701"/>
        <w:contextualSpacing w:val="0"/>
        <w:jc w:val="both"/>
        <w:rPr>
          <w:color w:val="FF0000"/>
        </w:rPr>
      </w:pPr>
      <w:r>
        <w:rPr>
          <w:color w:val="FF0000"/>
        </w:rPr>
        <w:t xml:space="preserve">En ce qui concerne la révision de prix, il existe plusieurs possibilités en ce qui concerne les Services de Recherche et de Développement, mais cela est précisé dans le Guide d'attribution. Soit on opte pour une révision de prix et les conditions qui y sont prévues s'appliquent, soit on choisit de ne pas opérer de révision du prix et il faut y préciser qu'il n'y aura pas de révision de prix et, comme indiqué ci-dessus, cela doit être motivé. Il faut donc faire un choix entre les deux en ce qui concerne la composante des Services de Recherche et de Développement. </w:t>
      </w:r>
    </w:p>
    <w:p w14:paraId="19AE1F06" w14:textId="125F310D" w:rsidR="0046402B" w:rsidRDefault="0046402B" w:rsidP="009A3AD9">
      <w:pPr>
        <w:pStyle w:val="Listenumros"/>
        <w:numPr>
          <w:ilvl w:val="3"/>
          <w:numId w:val="15"/>
        </w:numPr>
        <w:spacing w:after="160"/>
        <w:contextualSpacing w:val="0"/>
        <w:jc w:val="both"/>
        <w:rPr>
          <w:color w:val="70AD47" w:themeColor="accent6"/>
        </w:rPr>
      </w:pPr>
      <w:r>
        <w:rPr>
          <w:color w:val="70AD47" w:themeColor="accent6"/>
        </w:rPr>
        <w:t>Cet Article s'applique uniquement aux Services de Recherche et de Développement.</w:t>
      </w:r>
    </w:p>
    <w:p w14:paraId="72F2F2C0" w14:textId="55EA543A" w:rsidR="009A3AD9" w:rsidRDefault="009A3AD9" w:rsidP="009A3AD9">
      <w:pPr>
        <w:pStyle w:val="Listenumros"/>
        <w:numPr>
          <w:ilvl w:val="3"/>
          <w:numId w:val="15"/>
        </w:numPr>
        <w:spacing w:after="160"/>
        <w:contextualSpacing w:val="0"/>
        <w:jc w:val="both"/>
        <w:rPr>
          <w:color w:val="70AD47" w:themeColor="accent6"/>
        </w:rPr>
      </w:pPr>
      <w:r>
        <w:rPr>
          <w:color w:val="70AD47" w:themeColor="accent6"/>
        </w:rPr>
        <w:t>Le présent Marché est soumis à la formule de révision de prix telle que reprise dans le Guide d'attribution.</w:t>
      </w:r>
    </w:p>
    <w:p w14:paraId="35C19967" w14:textId="325084F0" w:rsidR="009A3AD9" w:rsidRDefault="009A3AD9" w:rsidP="009A3AD9">
      <w:pPr>
        <w:pStyle w:val="Listenumros"/>
        <w:numPr>
          <w:ilvl w:val="3"/>
          <w:numId w:val="15"/>
        </w:numPr>
        <w:spacing w:after="160"/>
        <w:contextualSpacing w:val="0"/>
        <w:jc w:val="both"/>
        <w:rPr>
          <w:color w:val="70AD47" w:themeColor="accent6"/>
        </w:rPr>
      </w:pPr>
      <w:r>
        <w:rPr>
          <w:color w:val="70AD47" w:themeColor="accent6"/>
        </w:rPr>
        <w:t>Aucune révision de prix n'est applicable au présent Marché.</w:t>
      </w:r>
    </w:p>
    <w:p w14:paraId="6E2EFCE8" w14:textId="25FB746C" w:rsidR="0046402B" w:rsidRPr="0046402B" w:rsidRDefault="0046402B" w:rsidP="0046402B">
      <w:pPr>
        <w:pStyle w:val="Titre3"/>
        <w:rPr>
          <w:color w:val="70AD47" w:themeColor="accent6"/>
        </w:rPr>
      </w:pPr>
      <w:bookmarkStart w:id="87" w:name="_Toc215499008"/>
      <w:r>
        <w:rPr>
          <w:color w:val="70AD47" w:themeColor="accent6"/>
        </w:rPr>
        <w:lastRenderedPageBreak/>
        <w:t>Révision de prix pour la composante livraisons</w:t>
      </w:r>
      <w:bookmarkEnd w:id="87"/>
    </w:p>
    <w:p w14:paraId="5677E74D" w14:textId="6418ADCF" w:rsidR="0046402B" w:rsidRDefault="0046402B" w:rsidP="0046402B">
      <w:pPr>
        <w:ind w:left="1701"/>
        <w:jc w:val="both"/>
        <w:rPr>
          <w:color w:val="FF0000"/>
        </w:rPr>
      </w:pPr>
      <w:r>
        <w:rPr>
          <w:color w:val="FF0000"/>
        </w:rPr>
        <w:t xml:space="preserve">En ce qui concerne les livraisons, il ne faut en principe pas reprendre de formule de révision du prix. Conformément à l'article 38/7, §2, ce n'est qu'une possibilité. Ici aussi, il est fait référence aux dispositions du Guide d'attribution. </w:t>
      </w:r>
    </w:p>
    <w:p w14:paraId="64CE68A4" w14:textId="77777777" w:rsidR="0046402B" w:rsidRPr="0046402B" w:rsidRDefault="0046402B" w:rsidP="0046402B">
      <w:pPr>
        <w:ind w:left="1701"/>
        <w:jc w:val="both"/>
      </w:pPr>
    </w:p>
    <w:p w14:paraId="73784C06" w14:textId="63E12D1D" w:rsidR="0046402B" w:rsidRPr="0046402B" w:rsidRDefault="0046402B" w:rsidP="0046402B">
      <w:pPr>
        <w:pStyle w:val="Listenumros"/>
        <w:numPr>
          <w:ilvl w:val="3"/>
          <w:numId w:val="15"/>
        </w:numPr>
        <w:spacing w:after="160"/>
        <w:contextualSpacing w:val="0"/>
        <w:jc w:val="both"/>
        <w:rPr>
          <w:color w:val="70AD47" w:themeColor="accent6"/>
        </w:rPr>
      </w:pPr>
      <w:r>
        <w:rPr>
          <w:color w:val="70AD47" w:themeColor="accent6"/>
        </w:rPr>
        <w:t>Cet Article s'applique uniquement aux livraisons et aux services correspondants.</w:t>
      </w:r>
    </w:p>
    <w:p w14:paraId="4F01D9D3" w14:textId="299740E9" w:rsidR="0046402B" w:rsidRDefault="0046402B" w:rsidP="0046402B">
      <w:pPr>
        <w:pStyle w:val="Listenumros"/>
        <w:numPr>
          <w:ilvl w:val="3"/>
          <w:numId w:val="15"/>
        </w:numPr>
        <w:spacing w:after="160"/>
        <w:contextualSpacing w:val="0"/>
        <w:jc w:val="both"/>
        <w:rPr>
          <w:color w:val="70AD47" w:themeColor="accent6"/>
        </w:rPr>
      </w:pPr>
      <w:r>
        <w:rPr>
          <w:color w:val="70AD47" w:themeColor="accent6"/>
        </w:rPr>
        <w:t>Le présent Marché est soumis à la formule de révision de prix telle que reprise dans le Guide d'attribution.</w:t>
      </w:r>
    </w:p>
    <w:p w14:paraId="5E63CA04" w14:textId="25B105D9" w:rsidR="0046402B" w:rsidRPr="00F83DB7" w:rsidRDefault="0046402B" w:rsidP="00F83DB7">
      <w:pPr>
        <w:pStyle w:val="Listenumros"/>
        <w:numPr>
          <w:ilvl w:val="3"/>
          <w:numId w:val="15"/>
        </w:numPr>
        <w:spacing w:after="160"/>
        <w:contextualSpacing w:val="0"/>
        <w:jc w:val="both"/>
        <w:rPr>
          <w:color w:val="70AD47" w:themeColor="accent6"/>
        </w:rPr>
      </w:pPr>
      <w:r>
        <w:rPr>
          <w:color w:val="70AD47" w:themeColor="accent6"/>
        </w:rPr>
        <w:t>Aucune révision de prix n'est applicable au présent Marché.</w:t>
      </w:r>
    </w:p>
    <w:p w14:paraId="7CB2C9DC" w14:textId="776B15E1" w:rsidR="000C0179" w:rsidRPr="000C0179" w:rsidRDefault="00C95862" w:rsidP="000C0179">
      <w:pPr>
        <w:pStyle w:val="Titre2"/>
      </w:pPr>
      <w:bookmarkStart w:id="88" w:name="_Toc215499009"/>
      <w:r>
        <w:t>Vérification et paiements</w:t>
      </w:r>
      <w:bookmarkEnd w:id="88"/>
    </w:p>
    <w:p w14:paraId="16C38AC2" w14:textId="623340F6" w:rsidR="00CE6081" w:rsidRDefault="00CE6081" w:rsidP="00CE6081">
      <w:pPr>
        <w:pStyle w:val="Titre3"/>
      </w:pPr>
      <w:bookmarkStart w:id="89" w:name="_Toc215499010"/>
      <w:r>
        <w:t>Paiement des Services de Recherche et de Développement</w:t>
      </w:r>
      <w:bookmarkEnd w:id="89"/>
    </w:p>
    <w:p w14:paraId="3C533424" w14:textId="16FDC20B" w:rsidR="000C0179" w:rsidRDefault="005C5254" w:rsidP="000C0179">
      <w:pPr>
        <w:pStyle w:val="Listenumros"/>
        <w:spacing w:after="160"/>
        <w:ind w:left="1701"/>
        <w:contextualSpacing w:val="0"/>
        <w:jc w:val="both"/>
        <w:rPr>
          <w:color w:val="FF0000"/>
        </w:rPr>
      </w:pPr>
      <w:r>
        <w:rPr>
          <w:color w:val="FF0000"/>
        </w:rPr>
        <w:t>Si l'on travaille pour les Services de Recherche et de Développement avec un montant maximal, on peut définir que les services à facturer ne peuvent pas dépasser le montant maximal.</w:t>
      </w:r>
    </w:p>
    <w:p w14:paraId="457A5739" w14:textId="3842259D" w:rsidR="00F61BE0" w:rsidRPr="00C95862" w:rsidRDefault="00326431" w:rsidP="00647374">
      <w:pPr>
        <w:pStyle w:val="Listenumros"/>
        <w:numPr>
          <w:ilvl w:val="3"/>
          <w:numId w:val="15"/>
        </w:numPr>
        <w:spacing w:after="160"/>
        <w:contextualSpacing w:val="0"/>
        <w:jc w:val="both"/>
        <w:rPr>
          <w:color w:val="70AD47" w:themeColor="accent6"/>
        </w:rPr>
      </w:pPr>
      <w:bookmarkStart w:id="90" w:name="_Ref153383603"/>
      <w:r>
        <w:rPr>
          <w:color w:val="70AD47" w:themeColor="accent6"/>
        </w:rPr>
        <w:t>Le montant total à payer par le Maître d'ouvrage à l'Adjudicataire pour les Services de Recherche et de Développement ne peut sous aucun prétexte dépasser le montant maximal indiqué dans le Guide d'attribution.</w:t>
      </w:r>
      <w:bookmarkEnd w:id="90"/>
    </w:p>
    <w:p w14:paraId="508A778A" w14:textId="7F40F70A" w:rsidR="00C95862" w:rsidRDefault="00C95862" w:rsidP="00647374">
      <w:pPr>
        <w:pStyle w:val="Listenumros"/>
        <w:numPr>
          <w:ilvl w:val="3"/>
          <w:numId w:val="15"/>
        </w:numPr>
        <w:spacing w:after="160"/>
        <w:contextualSpacing w:val="0"/>
        <w:jc w:val="both"/>
        <w:rPr>
          <w:color w:val="70AD47" w:themeColor="accent6"/>
        </w:rPr>
      </w:pPr>
      <w:r>
        <w:rPr>
          <w:color w:val="70AD47" w:themeColor="accent6"/>
        </w:rPr>
        <w:t xml:space="preserve">Sans préjudice des dispositions de l'Article </w:t>
      </w:r>
      <w:r>
        <w:rPr>
          <w:color w:val="70AD47" w:themeColor="accent6"/>
        </w:rPr>
        <w:fldChar w:fldCharType="begin"/>
      </w:r>
      <w:r>
        <w:rPr>
          <w:color w:val="70AD47" w:themeColor="accent6"/>
        </w:rPr>
        <w:instrText xml:space="preserve"> REF _Ref153383603 \n \h </w:instrText>
      </w:r>
      <w:r>
        <w:rPr>
          <w:color w:val="70AD47" w:themeColor="accent6"/>
        </w:rPr>
      </w:r>
      <w:r>
        <w:rPr>
          <w:color w:val="70AD47" w:themeColor="accent6"/>
        </w:rPr>
        <w:fldChar w:fldCharType="separate"/>
      </w:r>
      <w:r>
        <w:rPr>
          <w:color w:val="70AD47" w:themeColor="accent6"/>
        </w:rPr>
        <w:t>38.1</w:t>
      </w:r>
      <w:r>
        <w:rPr>
          <w:color w:val="70AD47" w:themeColor="accent6"/>
        </w:rPr>
        <w:fldChar w:fldCharType="end"/>
      </w:r>
      <w:r>
        <w:rPr>
          <w:color w:val="70AD47" w:themeColor="accent6"/>
        </w:rPr>
        <w:t>, le règlement est repris à l'article 160 AR Exécution.</w:t>
      </w:r>
    </w:p>
    <w:p w14:paraId="716C0B22" w14:textId="309EA0C5" w:rsidR="00326431" w:rsidRPr="00C95862" w:rsidRDefault="00612825" w:rsidP="00647374">
      <w:pPr>
        <w:pStyle w:val="Listenumros"/>
        <w:numPr>
          <w:ilvl w:val="3"/>
          <w:numId w:val="15"/>
        </w:numPr>
        <w:spacing w:after="160"/>
        <w:contextualSpacing w:val="0"/>
        <w:jc w:val="both"/>
        <w:rPr>
          <w:color w:val="70AD47" w:themeColor="accent6"/>
        </w:rPr>
      </w:pPr>
      <w:r>
        <w:rPr>
          <w:color w:val="70AD47" w:themeColor="accent6"/>
        </w:rPr>
        <w:t>L'Adjudicataire est responsable du paiement de ses Sous-traitants et, le cas échéant, d'autres tierces parties avec lesquelles il conclut un contrat. Si le Maître d'ouvrage est abordé par un Sous-traitant pour le paiement de prestations fournies, l'Adjudicataire préserve intégralement le Maître d'ouvrage.</w:t>
      </w:r>
    </w:p>
    <w:p w14:paraId="31270BD2" w14:textId="519D87DB" w:rsidR="00F83DB7" w:rsidRPr="00C95862" w:rsidRDefault="00F83DB7" w:rsidP="00C95862">
      <w:pPr>
        <w:pStyle w:val="Listenumros"/>
        <w:spacing w:after="160"/>
        <w:ind w:left="1701"/>
        <w:contextualSpacing w:val="0"/>
        <w:jc w:val="both"/>
        <w:rPr>
          <w:color w:val="FF0000"/>
        </w:rPr>
      </w:pPr>
      <w:r>
        <w:rPr>
          <w:color w:val="FF0000"/>
        </w:rPr>
        <w:t>En ce qui concerne les Services de Recherche et de Développement, il est aussi possible de travailler avec un acompte qui est dans ce cas versé en application de l'article 67 AR Exécution. Les conditions à cet effet doivent être respectées.</w:t>
      </w:r>
    </w:p>
    <w:p w14:paraId="316BE5A2" w14:textId="066E5243" w:rsidR="00612825" w:rsidRDefault="00612825" w:rsidP="00612825">
      <w:pPr>
        <w:pStyle w:val="Listenumros"/>
        <w:numPr>
          <w:ilvl w:val="3"/>
          <w:numId w:val="15"/>
        </w:numPr>
        <w:spacing w:after="160"/>
        <w:contextualSpacing w:val="0"/>
        <w:jc w:val="both"/>
      </w:pPr>
      <w:bookmarkStart w:id="91" w:name="_Ref143699934"/>
      <w:r>
        <w:rPr>
          <w:color w:val="70AD47" w:themeColor="accent6"/>
        </w:rPr>
        <w:t>L'Adjudicataire doit justifier les montants facturés au Maître d'ouvrage par des documents. L'Adjudicataire doit fournir un détail de la facture en ce qui concerne les divers prix unitaires indiqués, et il doit également transmettre une copie des factures pour les éventuels services sous-traités. Les tarifs horaires utilisés dans le cadre de la sous-traitance sont au maximum les tarifs horaires utilisés par l'Adjudicataire lui-même dans le cadre du Marché</w:t>
      </w:r>
      <w:r>
        <w:t>.</w:t>
      </w:r>
      <w:bookmarkEnd w:id="91"/>
    </w:p>
    <w:p w14:paraId="585A67AE" w14:textId="57CF876C" w:rsidR="00C95862" w:rsidRDefault="00C95862" w:rsidP="00C95862">
      <w:pPr>
        <w:pStyle w:val="Listenumros"/>
        <w:spacing w:after="160"/>
        <w:ind w:left="1701"/>
        <w:contextualSpacing w:val="0"/>
        <w:jc w:val="both"/>
        <w:rPr>
          <w:color w:val="FF0000"/>
        </w:rPr>
      </w:pPr>
      <w:r>
        <w:rPr>
          <w:color w:val="FF0000"/>
        </w:rPr>
        <w:t>Si l'on travaille avec des tarifs horaires, il est indiqué de demander les documents justificatifs suivants. En général, il n'est pas inhabituel de travailler avec des tarifs horaires spécifiques pour les services de recherche et de développement. Ce point est commenté dans le Guide d'attribution.</w:t>
      </w:r>
    </w:p>
    <w:p w14:paraId="49D2F7E0" w14:textId="1F486889" w:rsidR="00C95862" w:rsidRDefault="00C95862" w:rsidP="00C95862">
      <w:pPr>
        <w:pStyle w:val="Listenumros"/>
        <w:spacing w:after="160"/>
        <w:ind w:left="1701"/>
        <w:contextualSpacing w:val="0"/>
        <w:jc w:val="both"/>
      </w:pPr>
    </w:p>
    <w:p w14:paraId="176F6946" w14:textId="411F546A" w:rsidR="00C95862" w:rsidRPr="00091BEB" w:rsidRDefault="00C95862" w:rsidP="00C95862">
      <w:pPr>
        <w:pStyle w:val="Titre3"/>
        <w:rPr>
          <w:color w:val="70AD47" w:themeColor="accent6"/>
        </w:rPr>
      </w:pPr>
      <w:bookmarkStart w:id="92" w:name="_Toc215499011"/>
      <w:r>
        <w:rPr>
          <w:color w:val="70AD47" w:themeColor="accent6"/>
        </w:rPr>
        <w:t>Paiements des fournitures</w:t>
      </w:r>
      <w:bookmarkEnd w:id="92"/>
    </w:p>
    <w:p w14:paraId="04794C98" w14:textId="42652857" w:rsidR="00B30E9A" w:rsidRPr="00091BEB" w:rsidRDefault="00B30E9A" w:rsidP="00B30E9A">
      <w:pPr>
        <w:pStyle w:val="Listenumros"/>
        <w:numPr>
          <w:ilvl w:val="3"/>
          <w:numId w:val="15"/>
        </w:numPr>
        <w:spacing w:after="160"/>
        <w:contextualSpacing w:val="0"/>
        <w:jc w:val="both"/>
        <w:rPr>
          <w:color w:val="70AD47" w:themeColor="accent6"/>
        </w:rPr>
      </w:pPr>
      <w:r>
        <w:rPr>
          <w:color w:val="70AD47" w:themeColor="accent6"/>
        </w:rPr>
        <w:t>Le paiement des fournitures est assuré conformément au règlement repris à l'article 127 AR Exécution.</w:t>
      </w:r>
    </w:p>
    <w:p w14:paraId="564F7245" w14:textId="77777777" w:rsidR="00F070FF" w:rsidRDefault="00F070FF">
      <w:pPr>
        <w:rPr>
          <w:rFonts w:ascii="Calibri" w:eastAsiaTheme="majorEastAsia" w:hAnsi="Calibri" w:cs="Calibri"/>
          <w:b/>
          <w:bCs/>
          <w:color w:val="000000" w:themeColor="text1"/>
        </w:rPr>
      </w:pPr>
      <w:r>
        <w:br w:type="page"/>
      </w:r>
    </w:p>
    <w:p w14:paraId="7C33C997" w14:textId="2A808862" w:rsidR="00730489" w:rsidRPr="00730489" w:rsidRDefault="00730489" w:rsidP="00730489">
      <w:pPr>
        <w:pStyle w:val="Titre1"/>
      </w:pPr>
      <w:bookmarkStart w:id="93" w:name="_Toc215499012"/>
      <w:r>
        <w:lastRenderedPageBreak/>
        <w:t>Signature</w:t>
      </w:r>
      <w:bookmarkEnd w:id="93"/>
    </w:p>
    <w:p w14:paraId="30801B01" w14:textId="47B176FA" w:rsidR="00F070FF" w:rsidRDefault="00F070FF" w:rsidP="00F070FF">
      <w:pPr>
        <w:pStyle w:val="Titre3"/>
      </w:pPr>
      <w:bookmarkStart w:id="94" w:name="_Toc215499013"/>
      <w:r>
        <w:t>Page de signature</w:t>
      </w:r>
      <w:bookmarkEnd w:id="94"/>
    </w:p>
    <w:p w14:paraId="5A3E2FB3" w14:textId="09373AC9" w:rsidR="00F070FF" w:rsidRDefault="00F070FF" w:rsidP="00647374">
      <w:pPr>
        <w:pStyle w:val="Listenumros"/>
        <w:numPr>
          <w:ilvl w:val="3"/>
          <w:numId w:val="15"/>
        </w:numPr>
        <w:spacing w:after="160"/>
        <w:contextualSpacing w:val="0"/>
        <w:jc w:val="both"/>
      </w:pPr>
      <w:r>
        <w:t>Le présent Contrat a été signé le ___________ à _________ par les mandataires de chacune des Parties, qui confirment leur mandat par la signature du présent Contrat.</w:t>
      </w:r>
    </w:p>
    <w:p w14:paraId="68DD8CF9" w14:textId="67835F83" w:rsidR="00A71DF5" w:rsidRDefault="00F070FF" w:rsidP="00A71DF5">
      <w:pPr>
        <w:pStyle w:val="Listenumros"/>
        <w:numPr>
          <w:ilvl w:val="3"/>
          <w:numId w:val="15"/>
        </w:numPr>
        <w:spacing w:after="160"/>
        <w:contextualSpacing w:val="0"/>
        <w:jc w:val="both"/>
      </w:pPr>
      <w:r>
        <w:t>Pour l'Adjudicataire</w:t>
      </w:r>
    </w:p>
    <w:p w14:paraId="1FEBBF67" w14:textId="77777777" w:rsidR="00A71DF5" w:rsidRDefault="00A71DF5" w:rsidP="00A71DF5">
      <w:pPr>
        <w:pStyle w:val="Listenumros"/>
        <w:spacing w:after="160"/>
        <w:contextualSpacing w:val="0"/>
        <w:jc w:val="both"/>
      </w:pPr>
    </w:p>
    <w:p w14:paraId="40753E02" w14:textId="77777777" w:rsidR="00A71DF5" w:rsidRDefault="00A71DF5" w:rsidP="00A71DF5">
      <w:pPr>
        <w:pStyle w:val="Listenumros"/>
        <w:spacing w:after="160"/>
        <w:contextualSpacing w:val="0"/>
        <w:jc w:val="both"/>
      </w:pPr>
    </w:p>
    <w:p w14:paraId="4E6CB357" w14:textId="77777777" w:rsidR="00A71DF5" w:rsidRDefault="00A71DF5" w:rsidP="00A71DF5">
      <w:pPr>
        <w:pStyle w:val="Listenumros"/>
        <w:spacing w:after="160"/>
        <w:contextualSpacing w:val="0"/>
        <w:jc w:val="both"/>
      </w:pPr>
    </w:p>
    <w:p w14:paraId="2C692112" w14:textId="62EC4B77" w:rsidR="00A71DF5" w:rsidRDefault="00A71DF5" w:rsidP="00A71DF5">
      <w:pPr>
        <w:pStyle w:val="Listenumros"/>
        <w:spacing w:after="160"/>
        <w:ind w:left="1701"/>
        <w:contextualSpacing w:val="0"/>
        <w:jc w:val="both"/>
      </w:pPr>
      <w:r>
        <w:t>____________________</w:t>
      </w:r>
    </w:p>
    <w:p w14:paraId="0AEC0354" w14:textId="0771A381" w:rsidR="00F070FF" w:rsidRDefault="00F070FF" w:rsidP="00647374">
      <w:pPr>
        <w:pStyle w:val="Listenumros"/>
        <w:numPr>
          <w:ilvl w:val="3"/>
          <w:numId w:val="15"/>
        </w:numPr>
        <w:spacing w:after="160"/>
        <w:contextualSpacing w:val="0"/>
        <w:jc w:val="both"/>
      </w:pPr>
      <w:r>
        <w:t>Pour le Maître d'ouvrage</w:t>
      </w:r>
    </w:p>
    <w:p w14:paraId="324A1535" w14:textId="77777777" w:rsidR="0012005E" w:rsidRDefault="0012005E" w:rsidP="0012005E">
      <w:pPr>
        <w:pStyle w:val="Listenumros"/>
        <w:spacing w:after="160"/>
        <w:ind w:left="1701"/>
        <w:contextualSpacing w:val="0"/>
        <w:jc w:val="both"/>
      </w:pPr>
    </w:p>
    <w:p w14:paraId="009C2149" w14:textId="77777777" w:rsidR="0012005E" w:rsidRDefault="0012005E" w:rsidP="0012005E">
      <w:pPr>
        <w:pStyle w:val="Listenumros"/>
        <w:spacing w:after="160"/>
        <w:ind w:left="1701"/>
        <w:contextualSpacing w:val="0"/>
        <w:jc w:val="both"/>
      </w:pPr>
    </w:p>
    <w:p w14:paraId="168E4B21" w14:textId="77777777" w:rsidR="0012005E" w:rsidRDefault="0012005E" w:rsidP="0012005E">
      <w:pPr>
        <w:pStyle w:val="Listenumros"/>
        <w:spacing w:after="160"/>
        <w:contextualSpacing w:val="0"/>
        <w:jc w:val="both"/>
      </w:pPr>
    </w:p>
    <w:p w14:paraId="4796E127" w14:textId="60B45E3F" w:rsidR="0012005E" w:rsidRDefault="0012005E" w:rsidP="0012005E">
      <w:pPr>
        <w:pStyle w:val="Listenumros"/>
        <w:spacing w:after="160"/>
        <w:ind w:left="1701"/>
        <w:contextualSpacing w:val="0"/>
        <w:jc w:val="both"/>
      </w:pPr>
      <w:r>
        <w:t>____________________</w:t>
      </w:r>
    </w:p>
    <w:p w14:paraId="45B292DC" w14:textId="6EB8D371" w:rsidR="00872023" w:rsidRDefault="00872023">
      <w:r>
        <w:br w:type="page"/>
      </w:r>
    </w:p>
    <w:p w14:paraId="439487DE" w14:textId="08E948E5" w:rsidR="00872023" w:rsidRDefault="00872023" w:rsidP="00872023">
      <w:pPr>
        <w:pStyle w:val="Titre1"/>
        <w:numPr>
          <w:ilvl w:val="0"/>
          <w:numId w:val="0"/>
        </w:numPr>
        <w:ind w:left="2268" w:hanging="2268"/>
      </w:pPr>
      <w:bookmarkStart w:id="95" w:name="_Ref153360125"/>
      <w:bookmarkStart w:id="96" w:name="_Toc215499014"/>
      <w:r>
        <w:lastRenderedPageBreak/>
        <w:t>Annexe 1. - Définitions</w:t>
      </w:r>
      <w:bookmarkEnd w:id="95"/>
      <w:bookmarkEnd w:id="96"/>
    </w:p>
    <w:tbl>
      <w:tblPr>
        <w:tblStyle w:val="Grilledutableau"/>
        <w:tblW w:w="0" w:type="auto"/>
        <w:tblLook w:val="04A0" w:firstRow="1" w:lastRow="0" w:firstColumn="1" w:lastColumn="0" w:noHBand="0" w:noVBand="1"/>
      </w:tblPr>
      <w:tblGrid>
        <w:gridCol w:w="2830"/>
        <w:gridCol w:w="6230"/>
      </w:tblGrid>
      <w:tr w:rsidR="7F8AD845" w14:paraId="2A3330FB" w14:textId="77777777" w:rsidTr="7F8AD845">
        <w:trPr>
          <w:trHeight w:val="300"/>
        </w:trPr>
        <w:tc>
          <w:tcPr>
            <w:tcW w:w="2830" w:type="dxa"/>
          </w:tcPr>
          <w:p w14:paraId="0B72073D" w14:textId="2706B809" w:rsidR="7F8AD845" w:rsidRDefault="7F8AD845" w:rsidP="7F8AD845">
            <w:r>
              <w:rPr>
                <w:rFonts w:ascii="Calibri" w:hAnsi="Calibri"/>
                <w:color w:val="000000" w:themeColor="text1"/>
              </w:rPr>
              <w:t>Savoir</w:t>
            </w:r>
          </w:p>
        </w:tc>
        <w:tc>
          <w:tcPr>
            <w:tcW w:w="6230" w:type="dxa"/>
          </w:tcPr>
          <w:p w14:paraId="5C4EC5E6" w14:textId="68BC0103" w:rsidR="7F8AD845" w:rsidRDefault="7F8AD845" w:rsidP="7F8AD845">
            <w:pPr>
              <w:jc w:val="both"/>
            </w:pPr>
            <w:r>
              <w:rPr>
                <w:rFonts w:ascii="Calibri" w:hAnsi="Calibri"/>
                <w:color w:val="000000" w:themeColor="text1"/>
              </w:rPr>
              <w:t>Toutes les données, le savoir-faire, les informations ou la technologie, peu importe leur forme ou leur nature (matérielle ou immatérielle), y compris les droits qui y sont liés, comme les droits de propriété intellectuelle et les secrets commerciaux relatifs à ces données, ce savoir-faire, ces informations ou cette technologie, qui, à la date de la signature du Contrat, appartiennent à, sont développés par ou sont sous le contrôle d'une des Parties, ou qui, à tout moment pendant l'exécution du Marché, appartiennent à, sont développés par ou sont sous le contrôle d'une des parties, autrement que suite à l'exécution du Marché, et qui sont nécessaires à l'exécution du Marché ou à l'exploitation des Résultats.</w:t>
            </w:r>
          </w:p>
        </w:tc>
      </w:tr>
      <w:tr w:rsidR="00F56753" w14:paraId="69374D2B" w14:textId="77777777" w:rsidTr="00B97932">
        <w:tc>
          <w:tcPr>
            <w:tcW w:w="2830" w:type="dxa"/>
          </w:tcPr>
          <w:p w14:paraId="4F2AC405" w14:textId="77777777" w:rsidR="00F56753" w:rsidRDefault="00F56753" w:rsidP="005C0BE3">
            <w:r>
              <w:t>Addendum</w:t>
            </w:r>
          </w:p>
        </w:tc>
        <w:tc>
          <w:tcPr>
            <w:tcW w:w="6230" w:type="dxa"/>
          </w:tcPr>
          <w:p w14:paraId="36AEC138" w14:textId="77777777" w:rsidR="00F56753" w:rsidRDefault="00F56753" w:rsidP="005C0BE3">
            <w:pPr>
              <w:jc w:val="both"/>
            </w:pPr>
            <w:r>
              <w:t>Un addendum au Contrat suite à une modification apportée au Contrat.</w:t>
            </w:r>
          </w:p>
        </w:tc>
      </w:tr>
      <w:tr w:rsidR="00F56753" w14:paraId="167D259B" w14:textId="77777777" w:rsidTr="00B97932">
        <w:tc>
          <w:tcPr>
            <w:tcW w:w="2830" w:type="dxa"/>
          </w:tcPr>
          <w:p w14:paraId="099863EF" w14:textId="77777777" w:rsidR="00F56753" w:rsidRDefault="00F56753" w:rsidP="005C0BE3">
            <w:r>
              <w:t>Article</w:t>
            </w:r>
          </w:p>
        </w:tc>
        <w:tc>
          <w:tcPr>
            <w:tcW w:w="6230" w:type="dxa"/>
          </w:tcPr>
          <w:p w14:paraId="363E7E39" w14:textId="789DCFC2" w:rsidR="00F56753" w:rsidRDefault="00F56753" w:rsidP="005C0BE3">
            <w:pPr>
              <w:jc w:val="both"/>
            </w:pPr>
            <w:r>
              <w:t>Une disposition du Contrat</w:t>
            </w:r>
            <w:r w:rsidR="002C0B41">
              <w:t>.</w:t>
            </w:r>
          </w:p>
        </w:tc>
      </w:tr>
      <w:tr w:rsidR="00F56753" w14:paraId="5793C2F3" w14:textId="77777777" w:rsidTr="00B97932">
        <w:tc>
          <w:tcPr>
            <w:tcW w:w="2830" w:type="dxa"/>
          </w:tcPr>
          <w:p w14:paraId="5A185711" w14:textId="77777777" w:rsidR="00F56753" w:rsidRDefault="00F56753" w:rsidP="005C0BE3">
            <w:r>
              <w:t>Document descriptif</w:t>
            </w:r>
          </w:p>
        </w:tc>
        <w:tc>
          <w:tcPr>
            <w:tcW w:w="6230" w:type="dxa"/>
          </w:tcPr>
          <w:p w14:paraId="72D10402" w14:textId="5E571181" w:rsidR="00F56753" w:rsidRDefault="00F56753" w:rsidP="005C0BE3">
            <w:r>
              <w:t xml:space="preserve">Le document descriptif joint à </w:t>
            </w:r>
            <w:r>
              <w:rPr>
                <w:highlight w:val="yellow"/>
              </w:rPr>
              <w:fldChar w:fldCharType="begin"/>
            </w:r>
            <w:r>
              <w:instrText xml:space="preserve"> REF _Ref153387508 \h </w:instrText>
            </w:r>
            <w:r>
              <w:rPr>
                <w:highlight w:val="yellow"/>
              </w:rPr>
            </w:r>
            <w:r>
              <w:rPr>
                <w:highlight w:val="yellow"/>
              </w:rPr>
              <w:fldChar w:fldCharType="separate"/>
            </w:r>
            <w:r>
              <w:t>l'Annexe 5. - Document descriptif</w:t>
            </w:r>
            <w:r>
              <w:rPr>
                <w:highlight w:val="yellow"/>
              </w:rPr>
              <w:fldChar w:fldCharType="end"/>
            </w:r>
            <w:r>
              <w:t>.</w:t>
            </w:r>
          </w:p>
        </w:tc>
      </w:tr>
      <w:tr w:rsidR="00F56753" w14:paraId="000065BA" w14:textId="77777777" w:rsidTr="00B97932">
        <w:tc>
          <w:tcPr>
            <w:tcW w:w="2830" w:type="dxa"/>
          </w:tcPr>
          <w:p w14:paraId="5AAAD8A4" w14:textId="77777777" w:rsidR="00F56753" w:rsidRDefault="00F56753" w:rsidP="005C0BE3">
            <w:r>
              <w:t>Annexe</w:t>
            </w:r>
          </w:p>
        </w:tc>
        <w:tc>
          <w:tcPr>
            <w:tcW w:w="6230" w:type="dxa"/>
          </w:tcPr>
          <w:p w14:paraId="6745E8C9" w14:textId="59383113" w:rsidR="00F56753" w:rsidRDefault="00F56753" w:rsidP="005C0BE3">
            <w:r>
              <w:t>Une annexe au Contrat</w:t>
            </w:r>
            <w:r w:rsidR="002C0B41">
              <w:t>.</w:t>
            </w:r>
          </w:p>
        </w:tc>
      </w:tr>
      <w:tr w:rsidR="7F8AD845" w14:paraId="64636884" w14:textId="77777777" w:rsidTr="7F8AD845">
        <w:trPr>
          <w:trHeight w:val="300"/>
        </w:trPr>
        <w:tc>
          <w:tcPr>
            <w:tcW w:w="2830" w:type="dxa"/>
          </w:tcPr>
          <w:p w14:paraId="2C2342AC" w14:textId="0B79D89B" w:rsidR="7F8AD845" w:rsidRDefault="7F8AD845" w:rsidP="7F8AD845">
            <w:r>
              <w:t>Livrable</w:t>
            </w:r>
          </w:p>
        </w:tc>
        <w:tc>
          <w:tcPr>
            <w:tcW w:w="6230" w:type="dxa"/>
          </w:tcPr>
          <w:p w14:paraId="5E41D729" w14:textId="6380135E" w:rsidR="7F8AD845" w:rsidRDefault="7F8AD845" w:rsidP="7F8AD845">
            <w:r>
              <w:rPr>
                <w:rFonts w:ascii="Calibri" w:hAnsi="Calibri"/>
                <w:color w:val="000000" w:themeColor="text1"/>
              </w:rPr>
              <w:t xml:space="preserve">Les données qui doivent être fournies au Maître d'ouvrage à la lumière de l'exécution du Marché afin de démontrer l'évolution de l'exécution et comme décrit de manière plus détaillée à </w:t>
            </w:r>
            <w:r w:rsidR="00D065DC">
              <w:rPr>
                <w:rFonts w:ascii="Calibri" w:eastAsia="Calibri" w:hAnsi="Calibri" w:cs="Calibri"/>
                <w:color w:val="000000" w:themeColor="text1"/>
              </w:rPr>
              <w:fldChar w:fldCharType="begin"/>
            </w:r>
            <w:r w:rsidR="00D065DC">
              <w:rPr>
                <w:rFonts w:ascii="Calibri" w:eastAsia="Calibri" w:hAnsi="Calibri" w:cs="Calibri"/>
                <w:color w:val="000000" w:themeColor="text1"/>
              </w:rPr>
              <w:instrText xml:space="preserve"> REF _Ref153384706 \h </w:instrText>
            </w:r>
            <w:r w:rsidR="00D065DC">
              <w:rPr>
                <w:rFonts w:ascii="Calibri" w:eastAsia="Calibri" w:hAnsi="Calibri" w:cs="Calibri"/>
                <w:color w:val="000000" w:themeColor="text1"/>
              </w:rPr>
            </w:r>
            <w:r w:rsidR="00D065DC">
              <w:rPr>
                <w:rFonts w:ascii="Calibri" w:eastAsia="Calibri" w:hAnsi="Calibri" w:cs="Calibri"/>
                <w:color w:val="000000" w:themeColor="text1"/>
              </w:rPr>
              <w:fldChar w:fldCharType="separate"/>
            </w:r>
            <w:r>
              <w:t>l'Annexe 2. - Services de Recherche et de Développement - Livrables et Jalons</w:t>
            </w:r>
            <w:r w:rsidR="00D065DC">
              <w:rPr>
                <w:rFonts w:ascii="Calibri" w:eastAsia="Calibri" w:hAnsi="Calibri" w:cs="Calibri"/>
                <w:color w:val="000000" w:themeColor="text1"/>
              </w:rPr>
              <w:fldChar w:fldCharType="end"/>
            </w:r>
            <w:r>
              <w:rPr>
                <w:rFonts w:ascii="Calibri" w:hAnsi="Calibri"/>
                <w:color w:val="000000" w:themeColor="text1"/>
              </w:rPr>
              <w:t>.</w:t>
            </w:r>
          </w:p>
        </w:tc>
      </w:tr>
      <w:tr w:rsidR="00F56753" w14:paraId="24D89172" w14:textId="77777777" w:rsidTr="00B97932">
        <w:tc>
          <w:tcPr>
            <w:tcW w:w="2830" w:type="dxa"/>
          </w:tcPr>
          <w:p w14:paraId="2A4B49F8" w14:textId="77777777" w:rsidR="00F56753" w:rsidRDefault="00F56753" w:rsidP="005C0BE3">
            <w:r>
              <w:t>Date de fin</w:t>
            </w:r>
          </w:p>
        </w:tc>
        <w:tc>
          <w:tcPr>
            <w:tcW w:w="6230" w:type="dxa"/>
          </w:tcPr>
          <w:p w14:paraId="256167D1" w14:textId="77777777" w:rsidR="00F56753" w:rsidRDefault="00F56753" w:rsidP="005C0BE3">
            <w:r>
              <w:t>La date de fin prévue du Contrat qui est fixée au [</w:t>
            </w:r>
            <w:r w:rsidRPr="00A478DB">
              <w:rPr>
                <w:highlight w:val="lightGray"/>
              </w:rPr>
              <w:t>indiquer une date</w:t>
            </w:r>
            <w:r>
              <w:t>].</w:t>
            </w:r>
          </w:p>
        </w:tc>
      </w:tr>
      <w:tr w:rsidR="00F56753" w14:paraId="4D930F08" w14:textId="77777777" w:rsidTr="00B97932">
        <w:tc>
          <w:tcPr>
            <w:tcW w:w="2830" w:type="dxa"/>
          </w:tcPr>
          <w:p w14:paraId="2350980F" w14:textId="77777777" w:rsidR="00F56753" w:rsidRDefault="00F56753" w:rsidP="005C0BE3">
            <w:r>
              <w:t>Cas d'indisponibilité</w:t>
            </w:r>
          </w:p>
        </w:tc>
        <w:tc>
          <w:tcPr>
            <w:tcW w:w="6230" w:type="dxa"/>
          </w:tcPr>
          <w:p w14:paraId="65E64286" w14:textId="77777777" w:rsidR="00F56753" w:rsidRDefault="00F56753" w:rsidP="005C0BE3">
            <w:r>
              <w:t xml:space="preserve">Un cas où un membre du personnel, ou le Single Point of Contact, n'est pas disponible pendant une période de plus de septante-deux (72) heures. Il s'agit de cas de maladie, de congés... </w:t>
            </w:r>
          </w:p>
        </w:tc>
      </w:tr>
      <w:tr w:rsidR="00F56753" w14:paraId="208BB66C" w14:textId="77777777" w:rsidTr="00B97932">
        <w:tc>
          <w:tcPr>
            <w:tcW w:w="2830" w:type="dxa"/>
          </w:tcPr>
          <w:p w14:paraId="1DB48584" w14:textId="77777777" w:rsidR="00F56753" w:rsidRDefault="00F56753" w:rsidP="005C0BE3">
            <w:r>
              <w:t xml:space="preserve">Guide d'attribution </w:t>
            </w:r>
          </w:p>
        </w:tc>
        <w:tc>
          <w:tcPr>
            <w:tcW w:w="6230" w:type="dxa"/>
          </w:tcPr>
          <w:p w14:paraId="3172EA1A" w14:textId="5BBF7972" w:rsidR="00F56753" w:rsidRDefault="00F56753" w:rsidP="005C0BE3">
            <w:r>
              <w:t xml:space="preserve">Le guide d'attribution joint à </w:t>
            </w:r>
            <w:r>
              <w:rPr>
                <w:highlight w:val="yellow"/>
              </w:rPr>
              <w:fldChar w:fldCharType="begin"/>
            </w:r>
            <w:r>
              <w:instrText xml:space="preserve"> REF _Ref153387454 \h </w:instrText>
            </w:r>
            <w:r>
              <w:rPr>
                <w:highlight w:val="yellow"/>
              </w:rPr>
            </w:r>
            <w:r>
              <w:rPr>
                <w:highlight w:val="yellow"/>
              </w:rPr>
              <w:fldChar w:fldCharType="separate"/>
            </w:r>
            <w:r>
              <w:t>l'Annexe 3. - Guide d'attribution</w:t>
            </w:r>
            <w:r>
              <w:rPr>
                <w:highlight w:val="yellow"/>
              </w:rPr>
              <w:fldChar w:fldCharType="end"/>
            </w:r>
            <w:r w:rsidR="002C0B41">
              <w:t>.</w:t>
            </w:r>
          </w:p>
        </w:tc>
      </w:tr>
      <w:tr w:rsidR="00F56753" w14:paraId="04DA9CA1" w14:textId="77777777" w:rsidTr="00B97932">
        <w:tc>
          <w:tcPr>
            <w:tcW w:w="2830" w:type="dxa"/>
          </w:tcPr>
          <w:p w14:paraId="2AE211F2" w14:textId="77777777" w:rsidR="00F56753" w:rsidRDefault="00F56753" w:rsidP="005C0BE3">
            <w:r>
              <w:t>Droits de propriété intellectuelle</w:t>
            </w:r>
          </w:p>
        </w:tc>
        <w:tc>
          <w:tcPr>
            <w:tcW w:w="6230" w:type="dxa"/>
          </w:tcPr>
          <w:p w14:paraId="3DD73A0B" w14:textId="77777777" w:rsidR="00F56753" w:rsidRDefault="00F56753" w:rsidP="005C0BE3">
            <w:r>
              <w:t xml:space="preserve">Tous les droits des brevets (y compris, mais sans s'y limiter, les parties, extensions, brevets de perfectionnement, certificats complémentaires de protection), les inventions (pouvant faire l'objet d'un brevet ou admissible pour l'enregistrement ou non), les marques commerciales, les droits d'auteur (y compris les droits moraux), les droits topographiques, les droits des modèles, les droits liés aux logiciels et aux banques de données (y compris les droits d'empêcher l'extraction ou la réutilisation d'informations d'une banque de données), les secrets commerciaux et les droits de confiance, le savoir-faire, les noms commerciaux ou d'entreprise, les noms de domaine, peu importe s'ils sont enregistrés ou s'ils peuvent être enregistrés ou non, et y compris les demandes d'enregistrement, de renouvellement ou d'extension d'un de ces droits, et tous les autres droits ou </w:t>
            </w:r>
            <w:r>
              <w:lastRenderedPageBreak/>
              <w:t>formes de protection de nature similaire qui ont un effet similaire ou équivalent à l'un de ces droits existant maintenant ou l'avenir quelque part dans le monde, et les licences ou droits contractuels sur l'un des droits précités.</w:t>
            </w:r>
          </w:p>
        </w:tc>
      </w:tr>
      <w:tr w:rsidR="00F56753" w14:paraId="46B061FA" w14:textId="77777777" w:rsidTr="00B97932">
        <w:tc>
          <w:tcPr>
            <w:tcW w:w="2830" w:type="dxa"/>
          </w:tcPr>
          <w:p w14:paraId="51B77DCA" w14:textId="77777777" w:rsidR="00F56753" w:rsidRDefault="00F56753" w:rsidP="005C0BE3">
            <w:r>
              <w:lastRenderedPageBreak/>
              <w:t>AR Exécution</w:t>
            </w:r>
          </w:p>
        </w:tc>
        <w:tc>
          <w:tcPr>
            <w:tcW w:w="6230" w:type="dxa"/>
          </w:tcPr>
          <w:p w14:paraId="07619C28" w14:textId="5BA2F88F" w:rsidR="00F56753" w:rsidRDefault="00F56753" w:rsidP="005C0BE3">
            <w:r>
              <w:t>Arrêté royal du 14 janvier 2013 établissant les règles générales d'exécution des marchés publics</w:t>
            </w:r>
            <w:r w:rsidR="002C0B41">
              <w:t>.</w:t>
            </w:r>
          </w:p>
        </w:tc>
      </w:tr>
      <w:tr w:rsidR="00B97932" w14:paraId="61257F90" w14:textId="77777777" w:rsidTr="7F8AD845">
        <w:trPr>
          <w:trHeight w:val="300"/>
        </w:trPr>
        <w:tc>
          <w:tcPr>
            <w:tcW w:w="2830" w:type="dxa"/>
          </w:tcPr>
          <w:p w14:paraId="298632E2" w14:textId="0F778276" w:rsidR="00B97932" w:rsidRDefault="00B97932" w:rsidP="00B97932">
            <w:r>
              <w:t>Conditions du marché</w:t>
            </w:r>
          </w:p>
        </w:tc>
        <w:tc>
          <w:tcPr>
            <w:tcW w:w="6230" w:type="dxa"/>
          </w:tcPr>
          <w:p w14:paraId="1C5AC432" w14:textId="25B7DC08" w:rsidR="00B97932" w:rsidRPr="7F8AD845" w:rsidRDefault="00B97932" w:rsidP="00B97932">
            <w:pPr>
              <w:rPr>
                <w:rFonts w:ascii="Calibri" w:eastAsia="Calibri" w:hAnsi="Calibri" w:cs="Calibri"/>
                <w:color w:val="000000" w:themeColor="text1"/>
              </w:rPr>
            </w:pPr>
            <w:r>
              <w:t>Conditions adéquates, y compris les éventuelles conditions financières ou exemptes de royalties, compte tenu des circonstances spécifiques de la demande d'accès, y compris notamment la valeur réelle ou potentielle des Résultats ou du Savoir auquel un accès est demandé et/ou la portée, la durée ou d'autres caractéristiques de l'exploitation citée.</w:t>
            </w:r>
          </w:p>
        </w:tc>
      </w:tr>
      <w:tr w:rsidR="00B97932" w14:paraId="22F8D0E0" w14:textId="77777777" w:rsidTr="7F8AD845">
        <w:trPr>
          <w:trHeight w:val="300"/>
        </w:trPr>
        <w:tc>
          <w:tcPr>
            <w:tcW w:w="2830" w:type="dxa"/>
          </w:tcPr>
          <w:p w14:paraId="61C2DFFC" w14:textId="4B8039CE" w:rsidR="00B97932" w:rsidRDefault="00B97932" w:rsidP="00B97932">
            <w:r>
              <w:t>Jalon</w:t>
            </w:r>
          </w:p>
        </w:tc>
        <w:tc>
          <w:tcPr>
            <w:tcW w:w="6230" w:type="dxa"/>
          </w:tcPr>
          <w:p w14:paraId="33140FF7" w14:textId="22E94C43" w:rsidR="00B97932" w:rsidRDefault="00B97932" w:rsidP="00B97932">
            <w:r>
              <w:rPr>
                <w:rFonts w:ascii="Calibri" w:hAnsi="Calibri"/>
                <w:color w:val="000000" w:themeColor="text1"/>
              </w:rPr>
              <w:t xml:space="preserve">Les points de repère que l'Adjudicataire doit atteindre lors de l'exécution du Marché, comme décrit à </w:t>
            </w:r>
            <w:r>
              <w:rPr>
                <w:rFonts w:ascii="Calibri" w:eastAsia="Calibri" w:hAnsi="Calibri" w:cs="Calibri"/>
                <w:color w:val="000000" w:themeColor="text1"/>
              </w:rPr>
              <w:fldChar w:fldCharType="begin"/>
            </w:r>
            <w:r>
              <w:rPr>
                <w:rFonts w:ascii="Calibri" w:eastAsia="Calibri" w:hAnsi="Calibri" w:cs="Calibri"/>
                <w:color w:val="000000" w:themeColor="text1"/>
              </w:rPr>
              <w:instrText xml:space="preserve"> REF _Ref153384706 \h </w:instrText>
            </w:r>
            <w:r>
              <w:rPr>
                <w:rFonts w:ascii="Calibri" w:eastAsia="Calibri" w:hAnsi="Calibri" w:cs="Calibri"/>
                <w:color w:val="000000" w:themeColor="text1"/>
              </w:rPr>
            </w:r>
            <w:r>
              <w:rPr>
                <w:rFonts w:ascii="Calibri" w:eastAsia="Calibri" w:hAnsi="Calibri" w:cs="Calibri"/>
                <w:color w:val="000000" w:themeColor="text1"/>
              </w:rPr>
              <w:fldChar w:fldCharType="separate"/>
            </w:r>
            <w:r>
              <w:t>l'Annexe 2. - Services de Recherche et de Développement - Livrables et Jalons</w:t>
            </w:r>
            <w:r>
              <w:rPr>
                <w:rFonts w:ascii="Calibri" w:eastAsia="Calibri" w:hAnsi="Calibri" w:cs="Calibri"/>
                <w:color w:val="000000" w:themeColor="text1"/>
              </w:rPr>
              <w:fldChar w:fldCharType="end"/>
            </w:r>
            <w:r>
              <w:rPr>
                <w:rFonts w:ascii="Calibri" w:hAnsi="Calibri"/>
                <w:color w:val="000000" w:themeColor="text1"/>
              </w:rPr>
              <w:t>.</w:t>
            </w:r>
          </w:p>
        </w:tc>
      </w:tr>
      <w:tr w:rsidR="00B97932" w14:paraId="43833C63" w14:textId="77777777" w:rsidTr="00B97932">
        <w:tc>
          <w:tcPr>
            <w:tcW w:w="2830" w:type="dxa"/>
          </w:tcPr>
          <w:p w14:paraId="77AB9D8B" w14:textId="77777777" w:rsidR="00B97932" w:rsidRDefault="00B97932" w:rsidP="00B97932">
            <w:r>
              <w:t>Offre</w:t>
            </w:r>
          </w:p>
        </w:tc>
        <w:tc>
          <w:tcPr>
            <w:tcW w:w="6230" w:type="dxa"/>
          </w:tcPr>
          <w:p w14:paraId="0DC7C2A7" w14:textId="505B34D5" w:rsidR="00B97932" w:rsidRDefault="00B97932" w:rsidP="00B97932">
            <w:r>
              <w:t xml:space="preserve">L'offre de l'Adjudicataire qui est introduite suite au dialogue compétitif sur la base duquel le Marché est attribué, et sur la base de laquelle le Maître d'ouvrage a attribué le Marché à l'Adjudicataire, jointe à </w:t>
            </w:r>
            <w:r>
              <w:rPr>
                <w:highlight w:val="yellow"/>
              </w:rPr>
              <w:fldChar w:fldCharType="begin"/>
            </w:r>
            <w:r>
              <w:instrText xml:space="preserve"> REF _Ref153387440 \h </w:instrText>
            </w:r>
            <w:r>
              <w:rPr>
                <w:highlight w:val="yellow"/>
              </w:rPr>
            </w:r>
            <w:r>
              <w:rPr>
                <w:highlight w:val="yellow"/>
              </w:rPr>
              <w:fldChar w:fldCharType="separate"/>
            </w:r>
            <w:r>
              <w:t>l'Annexe 4. - Offre</w:t>
            </w:r>
            <w:r>
              <w:rPr>
                <w:highlight w:val="yellow"/>
              </w:rPr>
              <w:fldChar w:fldCharType="end"/>
            </w:r>
            <w:r>
              <w:t>.</w:t>
            </w:r>
          </w:p>
        </w:tc>
      </w:tr>
      <w:tr w:rsidR="00B97932" w14:paraId="49C39EA0" w14:textId="77777777" w:rsidTr="00B97932">
        <w:tc>
          <w:tcPr>
            <w:tcW w:w="2830" w:type="dxa"/>
          </w:tcPr>
          <w:p w14:paraId="1CB072E4" w14:textId="77777777" w:rsidR="00B97932" w:rsidRDefault="00B97932" w:rsidP="00B97932">
            <w:r>
              <w:t>Sous-traitant</w:t>
            </w:r>
          </w:p>
        </w:tc>
        <w:tc>
          <w:tcPr>
            <w:tcW w:w="6230" w:type="dxa"/>
          </w:tcPr>
          <w:p w14:paraId="38344EE6" w14:textId="77777777" w:rsidR="00B97932" w:rsidRDefault="00B97932" w:rsidP="00B97932">
            <w:r>
              <w:t>Une entreprise désignée par le Soumissionnaire, Adjudicataire respectif, qui sera sous son contrôle pour l'exécution d'une partie du Marché.</w:t>
            </w:r>
          </w:p>
        </w:tc>
      </w:tr>
      <w:tr w:rsidR="00B97932" w14:paraId="1DB1EC69" w14:textId="77777777" w:rsidTr="7F8AD845">
        <w:trPr>
          <w:trHeight w:val="300"/>
        </w:trPr>
        <w:tc>
          <w:tcPr>
            <w:tcW w:w="2830" w:type="dxa"/>
          </w:tcPr>
          <w:p w14:paraId="7D00DFC5" w14:textId="6EDF1D36" w:rsidR="00B97932" w:rsidRDefault="00B97932" w:rsidP="00B97932">
            <w:r>
              <w:t>Services de Recherche et de Développement</w:t>
            </w:r>
          </w:p>
        </w:tc>
        <w:tc>
          <w:tcPr>
            <w:tcW w:w="6230" w:type="dxa"/>
          </w:tcPr>
          <w:p w14:paraId="32F05CA3" w14:textId="07D0EB2F" w:rsidR="00B97932" w:rsidRDefault="00B97932" w:rsidP="00B97932">
            <w:r>
              <w:t xml:space="preserve">Les services pour la recherche et le développement qui sont décrits dans le Guide d'attribution et à </w:t>
            </w:r>
            <w:r>
              <w:fldChar w:fldCharType="begin"/>
            </w:r>
            <w:r>
              <w:instrText xml:space="preserve"> REF _Ref153384706 \h </w:instrText>
            </w:r>
            <w:r>
              <w:fldChar w:fldCharType="separate"/>
            </w:r>
            <w:r>
              <w:t>l'Annexe 2. - Services de Recherche et de Développement - Livrables et Jalons</w:t>
            </w:r>
            <w:r>
              <w:fldChar w:fldCharType="end"/>
            </w:r>
            <w:r>
              <w:t>.</w:t>
            </w:r>
          </w:p>
        </w:tc>
      </w:tr>
      <w:tr w:rsidR="00B97932" w14:paraId="5424C0D9" w14:textId="77777777" w:rsidTr="00B97932">
        <w:tc>
          <w:tcPr>
            <w:tcW w:w="2830" w:type="dxa"/>
          </w:tcPr>
          <w:p w14:paraId="70A94E7E" w14:textId="77777777" w:rsidR="00B97932" w:rsidRDefault="00B97932" w:rsidP="00B97932">
            <w:r>
              <w:t>Circonstances imprévues</w:t>
            </w:r>
          </w:p>
        </w:tc>
        <w:tc>
          <w:tcPr>
            <w:tcW w:w="6230" w:type="dxa"/>
          </w:tcPr>
          <w:p w14:paraId="2A3526F8" w14:textId="52BEEB75" w:rsidR="00B97932" w:rsidRDefault="00B97932" w:rsidP="00B97932">
            <w:r>
              <w:t xml:space="preserve">Les circonstances imprévues décrites à l'Article </w:t>
            </w:r>
            <w:r>
              <w:rPr>
                <w:highlight w:val="yellow"/>
              </w:rPr>
              <w:fldChar w:fldCharType="begin"/>
            </w:r>
            <w:r>
              <w:instrText xml:space="preserve"> REF _Ref153387418 \n \h </w:instrText>
            </w:r>
            <w:r>
              <w:rPr>
                <w:highlight w:val="yellow"/>
              </w:rPr>
            </w:r>
            <w:r>
              <w:rPr>
                <w:highlight w:val="yellow"/>
              </w:rPr>
              <w:fldChar w:fldCharType="separate"/>
            </w:r>
            <w:r>
              <w:t>16.2</w:t>
            </w:r>
            <w:r>
              <w:rPr>
                <w:highlight w:val="yellow"/>
              </w:rPr>
              <w:fldChar w:fldCharType="end"/>
            </w:r>
            <w:r>
              <w:t>.</w:t>
            </w:r>
          </w:p>
        </w:tc>
      </w:tr>
      <w:tr w:rsidR="00B97932" w14:paraId="0AED9F0A" w14:textId="77777777" w:rsidTr="00B97932">
        <w:tc>
          <w:tcPr>
            <w:tcW w:w="2830" w:type="dxa"/>
          </w:tcPr>
          <w:p w14:paraId="21072CFC" w14:textId="77777777" w:rsidR="00B97932" w:rsidRDefault="00B97932" w:rsidP="00B97932">
            <w:r>
              <w:t>Marché</w:t>
            </w:r>
          </w:p>
        </w:tc>
        <w:tc>
          <w:tcPr>
            <w:tcW w:w="6230" w:type="dxa"/>
          </w:tcPr>
          <w:p w14:paraId="2B558575" w14:textId="77777777" w:rsidR="00B97932" w:rsidRDefault="00B97932" w:rsidP="00B97932">
            <w:r>
              <w:t>Le marché tel que décrit dans les considérations, dont l'exécution est gérée par le Contrat.</w:t>
            </w:r>
          </w:p>
        </w:tc>
      </w:tr>
      <w:tr w:rsidR="00B97932" w14:paraId="34AD955F" w14:textId="77777777" w:rsidTr="00B97932">
        <w:tc>
          <w:tcPr>
            <w:tcW w:w="2830" w:type="dxa"/>
          </w:tcPr>
          <w:p w14:paraId="58FB0BB0" w14:textId="77777777" w:rsidR="00B97932" w:rsidRDefault="00B97932" w:rsidP="00B97932">
            <w:r>
              <w:t>Maître d'ouvrage</w:t>
            </w:r>
          </w:p>
        </w:tc>
        <w:tc>
          <w:tcPr>
            <w:tcW w:w="6230" w:type="dxa"/>
          </w:tcPr>
          <w:p w14:paraId="31FC3C99" w14:textId="77777777" w:rsidR="00B97932" w:rsidRDefault="00B97932" w:rsidP="00B97932">
            <w:r>
              <w:t>La partie qui est désignée comme le maître d'ouvrage lors de l'identification des Parties.</w:t>
            </w:r>
          </w:p>
        </w:tc>
      </w:tr>
      <w:tr w:rsidR="00B97932" w14:paraId="6081A1FB" w14:textId="77777777" w:rsidTr="00B97932">
        <w:tc>
          <w:tcPr>
            <w:tcW w:w="2830" w:type="dxa"/>
          </w:tcPr>
          <w:p w14:paraId="0248248C" w14:textId="77777777" w:rsidR="00B97932" w:rsidRDefault="00B97932" w:rsidP="00B97932">
            <w:r>
              <w:t>Adjudicataire</w:t>
            </w:r>
          </w:p>
        </w:tc>
        <w:tc>
          <w:tcPr>
            <w:tcW w:w="6230" w:type="dxa"/>
          </w:tcPr>
          <w:p w14:paraId="24AEC9D4" w14:textId="77777777" w:rsidR="00B97932" w:rsidRDefault="00B97932" w:rsidP="00B97932">
            <w:r>
              <w:t>La partie qui est désignée comme l'adjudicataire lors de l'identification des Parties.</w:t>
            </w:r>
          </w:p>
        </w:tc>
      </w:tr>
      <w:tr w:rsidR="00B97932" w14:paraId="3E36AE3E" w14:textId="77777777" w:rsidTr="00B97932">
        <w:tc>
          <w:tcPr>
            <w:tcW w:w="2830" w:type="dxa"/>
          </w:tcPr>
          <w:p w14:paraId="68301477" w14:textId="77777777" w:rsidR="00B97932" w:rsidRDefault="00B97932" w:rsidP="00B97932">
            <w:r>
              <w:t>Contrat</w:t>
            </w:r>
          </w:p>
        </w:tc>
        <w:tc>
          <w:tcPr>
            <w:tcW w:w="6230" w:type="dxa"/>
          </w:tcPr>
          <w:p w14:paraId="178E03DB" w14:textId="77777777" w:rsidR="00B97932" w:rsidRDefault="00B97932" w:rsidP="00B97932">
            <w:r>
              <w:t>Le présent contrat.</w:t>
            </w:r>
          </w:p>
        </w:tc>
      </w:tr>
      <w:tr w:rsidR="00B97932" w14:paraId="6000710C" w14:textId="77777777" w:rsidTr="00B97932">
        <w:tc>
          <w:tcPr>
            <w:tcW w:w="2830" w:type="dxa"/>
          </w:tcPr>
          <w:p w14:paraId="52C75784" w14:textId="77777777" w:rsidR="00B97932" w:rsidRDefault="00B97932" w:rsidP="00B97932">
            <w:r>
              <w:t>Loi relative aux marchés publics</w:t>
            </w:r>
          </w:p>
        </w:tc>
        <w:tc>
          <w:tcPr>
            <w:tcW w:w="6230" w:type="dxa"/>
          </w:tcPr>
          <w:p w14:paraId="4475385F" w14:textId="77777777" w:rsidR="00B97932" w:rsidRDefault="00B97932" w:rsidP="00B97932">
            <w:r>
              <w:t>La loi du 17 juin 2016 relative aux marchés publics.</w:t>
            </w:r>
          </w:p>
        </w:tc>
      </w:tr>
      <w:tr w:rsidR="00B97932" w14:paraId="04388B71" w14:textId="77777777" w:rsidTr="00B97932">
        <w:tc>
          <w:tcPr>
            <w:tcW w:w="2830" w:type="dxa"/>
          </w:tcPr>
          <w:p w14:paraId="0BFDBFB7" w14:textId="77777777" w:rsidR="00B97932" w:rsidRDefault="00B97932" w:rsidP="00B97932">
            <w:r>
              <w:t>Force majeure</w:t>
            </w:r>
          </w:p>
        </w:tc>
        <w:tc>
          <w:tcPr>
            <w:tcW w:w="6230" w:type="dxa"/>
          </w:tcPr>
          <w:p w14:paraId="20B0879B" w14:textId="77777777" w:rsidR="00B97932" w:rsidRPr="00FA35FC" w:rsidRDefault="00B97932" w:rsidP="00B97932">
            <w:pPr>
              <w:jc w:val="both"/>
            </w:pPr>
            <w:r>
              <w:t>La circonstance dans laquelle le Maître d'ouvrage ou l'Adjudicataire n'est inévitablement pas en mesure, ou seulement moyennant des coûts substantiellement plus élevés, de satisfaire à ses obligations en vertu du Contrat-cadre, alors que cette circonstance n'est pas causée par la Partie qui l'invoque. Les cas d'application possibles sont :</w:t>
            </w:r>
          </w:p>
          <w:p w14:paraId="2F4EFAA9" w14:textId="77777777" w:rsidR="00B97932" w:rsidRPr="00FA35FC" w:rsidRDefault="00B97932" w:rsidP="00B97932">
            <w:pPr>
              <w:numPr>
                <w:ilvl w:val="0"/>
                <w:numId w:val="29"/>
              </w:numPr>
              <w:contextualSpacing/>
              <w:jc w:val="both"/>
            </w:pPr>
            <w:r>
              <w:t>la guerre, la guerre civile, le conflit armé, les actes d’hostilité ;</w:t>
            </w:r>
          </w:p>
          <w:p w14:paraId="03F2E576" w14:textId="77777777" w:rsidR="00B97932" w:rsidRPr="00FA35FC" w:rsidRDefault="00B97932" w:rsidP="00B97932">
            <w:pPr>
              <w:numPr>
                <w:ilvl w:val="0"/>
                <w:numId w:val="29"/>
              </w:numPr>
              <w:contextualSpacing/>
              <w:jc w:val="both"/>
            </w:pPr>
            <w:r>
              <w:t>la rébellion, les attentats, le terrorisme, la révolution ou l'insurrection en Belgique ;</w:t>
            </w:r>
          </w:p>
          <w:p w14:paraId="18599EF6" w14:textId="77777777" w:rsidR="00B97932" w:rsidRDefault="00B97932" w:rsidP="00B97932">
            <w:pPr>
              <w:numPr>
                <w:ilvl w:val="0"/>
                <w:numId w:val="29"/>
              </w:numPr>
              <w:contextualSpacing/>
              <w:jc w:val="both"/>
            </w:pPr>
            <w:r>
              <w:t>la pandémie ;</w:t>
            </w:r>
          </w:p>
          <w:p w14:paraId="4133F498" w14:textId="77777777" w:rsidR="00B97932" w:rsidRPr="00FA35FC" w:rsidRDefault="00B97932" w:rsidP="00B97932">
            <w:pPr>
              <w:numPr>
                <w:ilvl w:val="0"/>
                <w:numId w:val="29"/>
              </w:numPr>
              <w:contextualSpacing/>
              <w:jc w:val="both"/>
            </w:pPr>
            <w:r>
              <w:lastRenderedPageBreak/>
              <w:t>les catastrophes naturelles comme un ouragan, un tremblement de terre, un raz-de-marée, une éruption volcanique, un glissement de terrain ou une chute de météorites, pour autant que ces évènements soient reconnus comme catastrophe naturelle par les instances compétentes ;</w:t>
            </w:r>
          </w:p>
          <w:p w14:paraId="013B5206" w14:textId="77777777" w:rsidR="00B97932" w:rsidRPr="00FA35FC" w:rsidRDefault="00B97932" w:rsidP="00B97932">
            <w:pPr>
              <w:numPr>
                <w:ilvl w:val="0"/>
                <w:numId w:val="29"/>
              </w:numPr>
              <w:contextualSpacing/>
              <w:jc w:val="both"/>
            </w:pPr>
            <w:r>
              <w:t>la détonation de matériel explosif ;</w:t>
            </w:r>
          </w:p>
          <w:p w14:paraId="5BC66BBF" w14:textId="77777777" w:rsidR="00B97932" w:rsidRPr="00FA35FC" w:rsidRDefault="00B97932" w:rsidP="00B97932">
            <w:pPr>
              <w:numPr>
                <w:ilvl w:val="0"/>
                <w:numId w:val="29"/>
              </w:numPr>
              <w:contextualSpacing/>
              <w:jc w:val="both"/>
            </w:pPr>
            <w:r>
              <w:t>le feu ou les explosions ;</w:t>
            </w:r>
          </w:p>
          <w:p w14:paraId="662067BC" w14:textId="77777777" w:rsidR="00B97932" w:rsidRDefault="00B97932" w:rsidP="00B97932">
            <w:r>
              <w:t>Une grève d'un ou plusieurs auxiliaires du Maître d'ouvrage.</w:t>
            </w:r>
          </w:p>
        </w:tc>
      </w:tr>
      <w:tr w:rsidR="00B97932" w14:paraId="6D25C074" w14:textId="77777777" w:rsidTr="00B97932">
        <w:tc>
          <w:tcPr>
            <w:tcW w:w="2830" w:type="dxa"/>
          </w:tcPr>
          <w:p w14:paraId="084A0FFF" w14:textId="77777777" w:rsidR="00B97932" w:rsidRDefault="00B97932" w:rsidP="00B97932">
            <w:r>
              <w:lastRenderedPageBreak/>
              <w:t>Partie</w:t>
            </w:r>
          </w:p>
        </w:tc>
        <w:tc>
          <w:tcPr>
            <w:tcW w:w="6230" w:type="dxa"/>
          </w:tcPr>
          <w:p w14:paraId="1C5467FB" w14:textId="77777777" w:rsidR="00B97932" w:rsidRDefault="00B97932" w:rsidP="00B97932">
            <w:r>
              <w:t>L'Adjudicataire, respectivement le Maître d'ouvrage en tant que partie au Contrat.</w:t>
            </w:r>
          </w:p>
        </w:tc>
      </w:tr>
      <w:tr w:rsidR="00B97932" w14:paraId="5DE4FAE0" w14:textId="77777777" w:rsidTr="00B97932">
        <w:tc>
          <w:tcPr>
            <w:tcW w:w="2830" w:type="dxa"/>
          </w:tcPr>
          <w:p w14:paraId="5C550BCA" w14:textId="77777777" w:rsidR="00B97932" w:rsidRDefault="00B97932" w:rsidP="00B97932">
            <w:r>
              <w:t>Réglementation</w:t>
            </w:r>
          </w:p>
        </w:tc>
        <w:tc>
          <w:tcPr>
            <w:tcW w:w="6230" w:type="dxa"/>
          </w:tcPr>
          <w:p w14:paraId="45B22291" w14:textId="77777777" w:rsidR="00B97932" w:rsidRDefault="00B97932" w:rsidP="00B97932">
            <w:r>
              <w:t>Toute disposition applicable qui est intégrée dans une disposition légale (dont les lois au sens formel, la législation d'ordre inférieur et les dispositions de droit international ou du droit de l'UE) ou dans une autre prescription généralement contraignante ou dans un arrêté (en ce compris une disposition, une indication, une directive et une requête) de tout organe public, au niveau national, supranational ou intergouvernement (en ce compris un organe directeur ou une instance de contrôle ou de gestion).</w:t>
            </w:r>
          </w:p>
        </w:tc>
      </w:tr>
      <w:tr w:rsidR="00B97932" w14:paraId="6CF8B5A2" w14:textId="77777777" w:rsidTr="00B97932">
        <w:tc>
          <w:tcPr>
            <w:tcW w:w="2830" w:type="dxa"/>
          </w:tcPr>
          <w:p w14:paraId="34795A4A" w14:textId="77777777" w:rsidR="00B97932" w:rsidRDefault="00B97932" w:rsidP="00B97932">
            <w:r>
              <w:t>Guide de sélection</w:t>
            </w:r>
          </w:p>
        </w:tc>
        <w:tc>
          <w:tcPr>
            <w:tcW w:w="6230" w:type="dxa"/>
          </w:tcPr>
          <w:p w14:paraId="2E89867A" w14:textId="31B11112" w:rsidR="00B97932" w:rsidRDefault="00B97932" w:rsidP="00B97932">
            <w:r>
              <w:t>Le guide de sélection joint en tant qu'</w:t>
            </w:r>
            <w:r>
              <w:rPr>
                <w:highlight w:val="yellow"/>
              </w:rPr>
              <w:fldChar w:fldCharType="begin"/>
            </w:r>
            <w:r>
              <w:instrText xml:space="preserve"> REF _Ref153387462 \h </w:instrText>
            </w:r>
            <w:r>
              <w:rPr>
                <w:highlight w:val="yellow"/>
              </w:rPr>
            </w:r>
            <w:r>
              <w:rPr>
                <w:highlight w:val="yellow"/>
              </w:rPr>
              <w:fldChar w:fldCharType="separate"/>
            </w:r>
            <w:r>
              <w:t>Annexe 6. - Guide de sélection</w:t>
            </w:r>
            <w:r>
              <w:rPr>
                <w:highlight w:val="yellow"/>
              </w:rPr>
              <w:fldChar w:fldCharType="end"/>
            </w:r>
            <w:r>
              <w:t xml:space="preserve"> au Contrat.</w:t>
            </w:r>
          </w:p>
        </w:tc>
      </w:tr>
      <w:tr w:rsidR="00B97932" w14:paraId="47ED6C9F" w14:textId="77777777" w:rsidTr="00B97932">
        <w:tc>
          <w:tcPr>
            <w:tcW w:w="2830" w:type="dxa"/>
          </w:tcPr>
          <w:p w14:paraId="1C5CF45A" w14:textId="5831C8EB" w:rsidR="00B97932" w:rsidRPr="00DF233B" w:rsidRDefault="00B97932" w:rsidP="00B97932">
            <w:pPr>
              <w:rPr>
                <w:lang w:val="en-US"/>
              </w:rPr>
            </w:pPr>
            <w:r w:rsidRPr="00DF233B">
              <w:rPr>
                <w:lang w:val="en-US"/>
              </w:rPr>
              <w:t>Single Point of Contact - SPOC</w:t>
            </w:r>
          </w:p>
        </w:tc>
        <w:tc>
          <w:tcPr>
            <w:tcW w:w="6230" w:type="dxa"/>
          </w:tcPr>
          <w:p w14:paraId="3516D4C5" w14:textId="77777777" w:rsidR="00B97932" w:rsidRDefault="00B97932" w:rsidP="00B97932">
            <w:r>
              <w:t>La personne de contact qui interviendra comme single point of contact et qui est désignée en tant que telle par l'Adjudicataire.</w:t>
            </w:r>
          </w:p>
        </w:tc>
      </w:tr>
      <w:tr w:rsidR="00B97932" w14:paraId="428E1CE1" w14:textId="77777777" w:rsidTr="7F8AD845">
        <w:trPr>
          <w:trHeight w:val="300"/>
        </w:trPr>
        <w:tc>
          <w:tcPr>
            <w:tcW w:w="2830" w:type="dxa"/>
          </w:tcPr>
          <w:p w14:paraId="5FB75B79" w14:textId="39E951E9" w:rsidR="00B97932" w:rsidRDefault="00B97932" w:rsidP="00B97932">
            <w:r>
              <w:t>Informations confidentielles</w:t>
            </w:r>
          </w:p>
        </w:tc>
        <w:tc>
          <w:tcPr>
            <w:tcW w:w="6230" w:type="dxa"/>
          </w:tcPr>
          <w:p w14:paraId="0A1DF9B0" w14:textId="57B599A0" w:rsidR="00B97932" w:rsidRDefault="00B97932" w:rsidP="00B97932">
            <w:pPr>
              <w:jc w:val="both"/>
            </w:pPr>
            <w:r>
              <w:rPr>
                <w:rFonts w:ascii="Calibri" w:hAnsi="Calibri"/>
                <w:color w:val="000000" w:themeColor="text1"/>
              </w:rPr>
              <w:t>Toutes les informations (y compris, mais sans s'y limiter, les documents, les présentations, les évaluations, les projets, les schémas, les notes, les méthodologies de nature technique, financière ou commerciale autre), transmises sous quelque forme ou de quelque manière que ce soit, qui sont fournies par une Partie à l'autre Partie en rapport avec le Marché pendant et/ou en vue de son exécution, et qui sont expressément qualifiées de « confidentielles » ou qui doivent être considérées au moment de leur fourniture dans le cadre des activités économiques normales comme confidentielles (peu importe la manière dont elles sont transmises ou le support d'information sur lequel elles sont stockées).</w:t>
            </w:r>
          </w:p>
        </w:tc>
      </w:tr>
      <w:tr w:rsidR="00B97932" w14:paraId="2A4A8E50" w14:textId="77777777" w:rsidTr="7F8AD845">
        <w:trPr>
          <w:trHeight w:val="300"/>
        </w:trPr>
        <w:tc>
          <w:tcPr>
            <w:tcW w:w="2830" w:type="dxa"/>
          </w:tcPr>
          <w:p w14:paraId="1308F116" w14:textId="049E2CFE" w:rsidR="00B97932" w:rsidRPr="00D30050" w:rsidRDefault="00B97932" w:rsidP="00B97932">
            <w:r>
              <w:t>Date de fin</w:t>
            </w:r>
          </w:p>
        </w:tc>
        <w:tc>
          <w:tcPr>
            <w:tcW w:w="6230" w:type="dxa"/>
          </w:tcPr>
          <w:p w14:paraId="5915898B" w14:textId="6F8AD476" w:rsidR="00B97932" w:rsidRPr="2130BECD" w:rsidRDefault="00B97932" w:rsidP="00B97932">
            <w:pPr>
              <w:jc w:val="both"/>
              <w:rPr>
                <w:rFonts w:ascii="Calibri" w:eastAsia="Calibri" w:hAnsi="Calibri" w:cs="Calibri"/>
                <w:color w:val="000000" w:themeColor="text1"/>
              </w:rPr>
            </w:pPr>
            <w:r>
              <w:rPr>
                <w:rFonts w:ascii="Calibri" w:hAnsi="Calibri"/>
                <w:color w:val="000000" w:themeColor="text1"/>
              </w:rPr>
              <w:t xml:space="preserve">La date fixée à l'Article </w:t>
            </w:r>
            <w:r>
              <w:rPr>
                <w:rFonts w:ascii="Calibri" w:eastAsia="Calibri" w:hAnsi="Calibri" w:cs="Calibri"/>
                <w:color w:val="000000" w:themeColor="text1"/>
              </w:rPr>
              <w:fldChar w:fldCharType="begin"/>
            </w:r>
            <w:r>
              <w:rPr>
                <w:rFonts w:ascii="Calibri" w:eastAsia="Calibri" w:hAnsi="Calibri" w:cs="Calibri"/>
                <w:color w:val="000000" w:themeColor="text1"/>
              </w:rPr>
              <w:instrText xml:space="preserve"> REF _Ref143719185 \n \h </w:instrText>
            </w:r>
            <w:r>
              <w:rPr>
                <w:rFonts w:ascii="Calibri" w:eastAsia="Calibri" w:hAnsi="Calibri" w:cs="Calibri"/>
                <w:color w:val="000000" w:themeColor="text1"/>
              </w:rPr>
            </w:r>
            <w:r>
              <w:rPr>
                <w:rFonts w:ascii="Calibri" w:eastAsia="Calibri" w:hAnsi="Calibri" w:cs="Calibri"/>
                <w:color w:val="000000" w:themeColor="text1"/>
              </w:rPr>
              <w:fldChar w:fldCharType="separate"/>
            </w:r>
            <w:r>
              <w:rPr>
                <w:rFonts w:ascii="Calibri" w:hAnsi="Calibri"/>
                <w:color w:val="000000" w:themeColor="text1"/>
              </w:rPr>
              <w:t>25.2</w:t>
            </w:r>
            <w:r>
              <w:rPr>
                <w:rFonts w:ascii="Calibri" w:eastAsia="Calibri" w:hAnsi="Calibri" w:cs="Calibri"/>
                <w:color w:val="000000" w:themeColor="text1"/>
              </w:rPr>
              <w:fldChar w:fldCharType="end"/>
            </w:r>
            <w:r>
              <w:rPr>
                <w:rFonts w:ascii="Calibri" w:hAnsi="Calibri"/>
                <w:color w:val="000000" w:themeColor="text1"/>
              </w:rPr>
              <w:t>.</w:t>
            </w:r>
          </w:p>
        </w:tc>
      </w:tr>
      <w:tr w:rsidR="00B97932" w14:paraId="17DBF593" w14:textId="77777777" w:rsidTr="00B97932">
        <w:tc>
          <w:tcPr>
            <w:tcW w:w="2830" w:type="dxa"/>
          </w:tcPr>
          <w:p w14:paraId="7A6CEE8B" w14:textId="77777777" w:rsidR="00B97932" w:rsidRDefault="00B97932" w:rsidP="00B97932">
            <w:r>
              <w:t>Jour ouvrable</w:t>
            </w:r>
          </w:p>
        </w:tc>
        <w:tc>
          <w:tcPr>
            <w:tcW w:w="6230" w:type="dxa"/>
          </w:tcPr>
          <w:p w14:paraId="40084215" w14:textId="77777777" w:rsidR="00B97932" w:rsidRDefault="00B97932" w:rsidP="00B97932">
            <w:r>
              <w:t>Un jour ouvrable conformément à l'article 1.7, § 3, alinéa 2 du Code civil.</w:t>
            </w:r>
          </w:p>
        </w:tc>
      </w:tr>
    </w:tbl>
    <w:p w14:paraId="01A9520C" w14:textId="57BD573F" w:rsidR="00E53226" w:rsidRDefault="00E53226">
      <w:pPr>
        <w:rPr>
          <w:rFonts w:ascii="Calibri" w:eastAsiaTheme="majorEastAsia" w:hAnsi="Calibri" w:cs="Calibri"/>
          <w:b/>
          <w:bCs/>
          <w:color w:val="000000" w:themeColor="text1"/>
          <w:u w:val="single"/>
        </w:rPr>
      </w:pPr>
      <w:r>
        <w:br w:type="page"/>
      </w:r>
    </w:p>
    <w:p w14:paraId="69777305" w14:textId="4DB41DCE" w:rsidR="00872023" w:rsidRPr="00872023" w:rsidRDefault="00872023" w:rsidP="00872023">
      <w:pPr>
        <w:pStyle w:val="Titre1"/>
        <w:numPr>
          <w:ilvl w:val="0"/>
          <w:numId w:val="0"/>
        </w:numPr>
        <w:ind w:left="2268" w:hanging="2268"/>
      </w:pPr>
      <w:bookmarkStart w:id="97" w:name="_Ref153384706"/>
      <w:bookmarkStart w:id="98" w:name="_Ref153387586"/>
      <w:bookmarkStart w:id="99" w:name="_Toc215499015"/>
      <w:r>
        <w:lastRenderedPageBreak/>
        <w:t>Annexe 2. - Services de Recherche et de Développement - Livrables et Jalons</w:t>
      </w:r>
      <w:bookmarkEnd w:id="97"/>
      <w:bookmarkEnd w:id="98"/>
      <w:bookmarkEnd w:id="99"/>
    </w:p>
    <w:p w14:paraId="16B3CA92" w14:textId="100657FC" w:rsidR="00872023" w:rsidRDefault="00872023" w:rsidP="00872023">
      <w:pPr>
        <w:pStyle w:val="Listenumros"/>
        <w:spacing w:after="160"/>
        <w:contextualSpacing w:val="0"/>
        <w:jc w:val="both"/>
        <w:rPr>
          <w:color w:val="FF0000"/>
        </w:rPr>
      </w:pPr>
      <w:r>
        <w:rPr>
          <w:color w:val="FF0000"/>
        </w:rPr>
        <w:t>Dans cette annexe, il convient de décrire quels sont les Livrables et les Jalons concrets que l'Adjudicataire doit atteindre. Les Livrables concernent plutôt des documents à transmettre par l'Adjudicataire, tandis que les Jalons portent sur les résultats observables proprement dits qui doivent être atteints.</w:t>
      </w:r>
    </w:p>
    <w:p w14:paraId="53E55547" w14:textId="0DBCD89D" w:rsidR="00DA27BF" w:rsidRDefault="0071094D" w:rsidP="0012005E">
      <w:pPr>
        <w:pStyle w:val="Listenumros"/>
        <w:spacing w:after="160"/>
        <w:contextualSpacing w:val="0"/>
        <w:jc w:val="both"/>
        <w:rPr>
          <w:color w:val="FF0000"/>
        </w:rPr>
      </w:pPr>
      <w:r>
        <w:rPr>
          <w:color w:val="FF0000"/>
        </w:rPr>
        <w:t>Le Guide d'attribution comprend des modèles qui peuvent être utilisés pour donner forme à ces Jalons et Livrables. Notons que ces Livrables et Jalons sont spécifiques au projet et ne peuvent pas être repris purement et simplement.</w:t>
      </w:r>
    </w:p>
    <w:p w14:paraId="63D4670E" w14:textId="6682700E" w:rsidR="00F56753" w:rsidRDefault="00F56753">
      <w:pPr>
        <w:rPr>
          <w:color w:val="FF0000"/>
        </w:rPr>
      </w:pPr>
      <w:r>
        <w:rPr>
          <w:color w:val="FF0000"/>
        </w:rPr>
        <w:br w:type="page"/>
      </w:r>
    </w:p>
    <w:p w14:paraId="3511BF79" w14:textId="11A95D6C" w:rsidR="00F56753" w:rsidRDefault="00F56753" w:rsidP="00F56753">
      <w:pPr>
        <w:pStyle w:val="Titre1"/>
        <w:numPr>
          <w:ilvl w:val="0"/>
          <w:numId w:val="0"/>
        </w:numPr>
        <w:ind w:left="2268" w:hanging="2268"/>
      </w:pPr>
      <w:bookmarkStart w:id="100" w:name="_Ref153387454"/>
      <w:bookmarkStart w:id="101" w:name="_Toc215499016"/>
      <w:r>
        <w:lastRenderedPageBreak/>
        <w:t>Annexe 3. - Guide d'attribution</w:t>
      </w:r>
      <w:bookmarkEnd w:id="101"/>
      <w:r>
        <w:t xml:space="preserve"> </w:t>
      </w:r>
      <w:bookmarkEnd w:id="100"/>
    </w:p>
    <w:p w14:paraId="2971A98A" w14:textId="77777777" w:rsidR="00F56753" w:rsidRDefault="00F56753">
      <w:pPr>
        <w:rPr>
          <w:rFonts w:ascii="Calibri" w:eastAsiaTheme="majorEastAsia" w:hAnsi="Calibri" w:cs="Calibri"/>
          <w:b/>
          <w:bCs/>
          <w:color w:val="000000" w:themeColor="text1"/>
          <w:u w:val="single"/>
        </w:rPr>
      </w:pPr>
      <w:r>
        <w:br w:type="page"/>
      </w:r>
    </w:p>
    <w:p w14:paraId="26F0CD59" w14:textId="2B5D3A95" w:rsidR="00F56753" w:rsidRDefault="00F56753" w:rsidP="00F56753">
      <w:pPr>
        <w:pStyle w:val="Titre1"/>
        <w:numPr>
          <w:ilvl w:val="0"/>
          <w:numId w:val="0"/>
        </w:numPr>
        <w:ind w:left="2268" w:hanging="2268"/>
      </w:pPr>
      <w:bookmarkStart w:id="102" w:name="_Ref153387440"/>
      <w:bookmarkStart w:id="103" w:name="_Toc215499017"/>
      <w:r>
        <w:lastRenderedPageBreak/>
        <w:t>Annexe 4. - Offre</w:t>
      </w:r>
      <w:bookmarkEnd w:id="102"/>
      <w:bookmarkEnd w:id="103"/>
      <w:r>
        <w:br w:type="page"/>
      </w:r>
    </w:p>
    <w:p w14:paraId="3F8FFB52" w14:textId="55597837" w:rsidR="00F56753" w:rsidRDefault="00F56753" w:rsidP="00F56753">
      <w:pPr>
        <w:pStyle w:val="Titre1"/>
        <w:numPr>
          <w:ilvl w:val="0"/>
          <w:numId w:val="0"/>
        </w:numPr>
        <w:ind w:left="2268" w:hanging="2268"/>
      </w:pPr>
      <w:bookmarkStart w:id="104" w:name="_Ref153387508"/>
      <w:bookmarkStart w:id="105" w:name="_Toc215499018"/>
      <w:r>
        <w:lastRenderedPageBreak/>
        <w:t>Annexe 5. - Document descriptif</w:t>
      </w:r>
      <w:bookmarkEnd w:id="104"/>
      <w:bookmarkEnd w:id="105"/>
    </w:p>
    <w:p w14:paraId="6465A999" w14:textId="77777777" w:rsidR="00F56753" w:rsidRDefault="00F56753">
      <w:pPr>
        <w:rPr>
          <w:rFonts w:ascii="Calibri" w:eastAsiaTheme="majorEastAsia" w:hAnsi="Calibri" w:cs="Calibri"/>
          <w:b/>
          <w:bCs/>
          <w:color w:val="000000" w:themeColor="text1"/>
          <w:u w:val="single"/>
        </w:rPr>
      </w:pPr>
      <w:r>
        <w:br w:type="page"/>
      </w:r>
    </w:p>
    <w:p w14:paraId="54AEEA25" w14:textId="7C44596E" w:rsidR="00F56753" w:rsidRDefault="00F56753" w:rsidP="00F56753">
      <w:pPr>
        <w:pStyle w:val="Titre1"/>
        <w:numPr>
          <w:ilvl w:val="0"/>
          <w:numId w:val="0"/>
        </w:numPr>
        <w:ind w:left="2268" w:hanging="2268"/>
      </w:pPr>
      <w:bookmarkStart w:id="106" w:name="_Ref153387462"/>
      <w:bookmarkStart w:id="107" w:name="_Toc215499019"/>
      <w:r>
        <w:lastRenderedPageBreak/>
        <w:t>Annexe 6. - Guide de sélection</w:t>
      </w:r>
      <w:bookmarkEnd w:id="106"/>
      <w:bookmarkEnd w:id="107"/>
    </w:p>
    <w:p w14:paraId="031579B5" w14:textId="77777777" w:rsidR="00F56753" w:rsidRPr="00F56753" w:rsidRDefault="00F56753" w:rsidP="00F56753"/>
    <w:sectPr w:rsidR="00F56753" w:rsidRPr="00F56753" w:rsidSect="002329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0D55" w14:textId="77777777" w:rsidR="00AF0072" w:rsidRDefault="00AF0072" w:rsidP="00386624">
      <w:r>
        <w:separator/>
      </w:r>
    </w:p>
  </w:endnote>
  <w:endnote w:type="continuationSeparator" w:id="0">
    <w:p w14:paraId="75C378F2" w14:textId="77777777" w:rsidR="00AF0072" w:rsidRDefault="00AF0072" w:rsidP="00386624">
      <w:r>
        <w:continuationSeparator/>
      </w:r>
    </w:p>
  </w:endnote>
  <w:endnote w:type="continuationNotice" w:id="1">
    <w:p w14:paraId="17689BF2" w14:textId="77777777" w:rsidR="00AF0072" w:rsidRDefault="00AF0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A54B" w14:textId="77777777" w:rsidR="00AF0072" w:rsidRDefault="00AF0072" w:rsidP="00386624">
      <w:r>
        <w:separator/>
      </w:r>
    </w:p>
  </w:footnote>
  <w:footnote w:type="continuationSeparator" w:id="0">
    <w:p w14:paraId="1DCA9B04" w14:textId="77777777" w:rsidR="00AF0072" w:rsidRDefault="00AF0072" w:rsidP="00386624">
      <w:r>
        <w:continuationSeparator/>
      </w:r>
    </w:p>
  </w:footnote>
  <w:footnote w:type="continuationNotice" w:id="1">
    <w:p w14:paraId="082B6FFA" w14:textId="77777777" w:rsidR="00AF0072" w:rsidRDefault="00AF00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7A9ECE"/>
    <w:lvl w:ilvl="0">
      <w:start w:val="1"/>
      <w:numFmt w:val="decimal"/>
      <w:lvlText w:val="%1."/>
      <w:lvlJc w:val="left"/>
      <w:pPr>
        <w:tabs>
          <w:tab w:val="num" w:pos="360"/>
        </w:tabs>
        <w:ind w:left="360" w:hanging="360"/>
      </w:pPr>
    </w:lvl>
  </w:abstractNum>
  <w:abstractNum w:abstractNumId="1" w15:restartNumberingAfterBreak="0">
    <w:nsid w:val="0025346C"/>
    <w:multiLevelType w:val="hybridMultilevel"/>
    <w:tmpl w:val="03FC4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0630411"/>
    <w:multiLevelType w:val="multilevel"/>
    <w:tmpl w:val="BDCE296A"/>
    <w:styleLink w:val="Huidigelijst1"/>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3.%4."/>
      <w:lvlJc w:val="left"/>
      <w:pPr>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DC7BA4"/>
    <w:multiLevelType w:val="multilevel"/>
    <w:tmpl w:val="47D2CE72"/>
    <w:styleLink w:val="Huidigelijst6"/>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4B764A"/>
    <w:multiLevelType w:val="multilevel"/>
    <w:tmpl w:val="F12A961A"/>
    <w:styleLink w:val="Huidigelijst3"/>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3.%4."/>
      <w:lvlJc w:val="left"/>
      <w:pPr>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7B60FA"/>
    <w:multiLevelType w:val="multilevel"/>
    <w:tmpl w:val="26AA8D96"/>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4416BB"/>
    <w:multiLevelType w:val="hybridMultilevel"/>
    <w:tmpl w:val="76C62C0E"/>
    <w:lvl w:ilvl="0" w:tplc="04090019">
      <w:start w:val="1"/>
      <w:numFmt w:val="lowerLetter"/>
      <w:lvlText w:val="%1."/>
      <w:lvlJc w:val="left"/>
      <w:pPr>
        <w:ind w:left="2203" w:hanging="360"/>
      </w:pPr>
      <w:rPr>
        <w:rFonts w:hint="default"/>
      </w:rPr>
    </w:lvl>
    <w:lvl w:ilvl="1" w:tplc="0409001B">
      <w:start w:val="1"/>
      <w:numFmt w:val="lowerRoman"/>
      <w:lvlText w:val="%2."/>
      <w:lvlJc w:val="right"/>
      <w:pPr>
        <w:ind w:left="2629" w:hanging="360"/>
      </w:pPr>
      <w:rPr>
        <w:rFonts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7" w15:restartNumberingAfterBreak="0">
    <w:nsid w:val="10A668DE"/>
    <w:multiLevelType w:val="hybridMultilevel"/>
    <w:tmpl w:val="39721448"/>
    <w:lvl w:ilvl="0" w:tplc="AD145902">
      <w:start w:val="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627070E"/>
    <w:multiLevelType w:val="multilevel"/>
    <w:tmpl w:val="2E806E44"/>
    <w:styleLink w:val="Huidigelijst5"/>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6C7758"/>
    <w:multiLevelType w:val="multilevel"/>
    <w:tmpl w:val="0DFA71B8"/>
    <w:styleLink w:val="Huidigelijst9"/>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A03162"/>
    <w:multiLevelType w:val="multilevel"/>
    <w:tmpl w:val="3E5257B8"/>
    <w:lvl w:ilvl="0">
      <w:start w:val="1"/>
      <w:numFmt w:val="upperRoman"/>
      <w:pStyle w:val="Titre1"/>
      <w:lvlText w:val="Hoofdstuk %1."/>
      <w:lvlJc w:val="left"/>
      <w:pPr>
        <w:ind w:left="2268" w:hanging="2268"/>
      </w:pPr>
      <w:rPr>
        <w:rFonts w:hint="default"/>
      </w:rPr>
    </w:lvl>
    <w:lvl w:ilvl="1">
      <w:start w:val="1"/>
      <w:numFmt w:val="decimal"/>
      <w:pStyle w:val="Titre2"/>
      <w:lvlText w:val="Section %2."/>
      <w:lvlJc w:val="left"/>
      <w:pPr>
        <w:ind w:left="2268" w:hanging="2268"/>
      </w:pPr>
      <w:rPr>
        <w:rFonts w:hint="default"/>
      </w:rPr>
    </w:lvl>
    <w:lvl w:ilvl="2">
      <w:start w:val="1"/>
      <w:numFmt w:val="decimal"/>
      <w:lvlRestart w:val="0"/>
      <w:pStyle w:val="Titre3"/>
      <w:lvlText w:val="Article %3."/>
      <w:lvlJc w:val="left"/>
      <w:pPr>
        <w:ind w:left="1701" w:hanging="1701"/>
      </w:pPr>
      <w:rPr>
        <w:rFonts w:ascii="Calibri" w:hAnsi="Calibri" w:cs="Calibri" w:hint="default"/>
        <w:b/>
        <w:bCs/>
        <w:color w:val="000000" w:themeColor="text1"/>
      </w:rPr>
    </w:lvl>
    <w:lvl w:ilvl="3">
      <w:start w:val="1"/>
      <w:numFmt w:val="decimal"/>
      <w:lvlText w:val="%3.%4."/>
      <w:lvlJc w:val="left"/>
      <w:pPr>
        <w:ind w:left="1701" w:hanging="1417"/>
      </w:pPr>
      <w:rPr>
        <w:rFonts w:hint="default"/>
        <w:b w:val="0"/>
        <w:bCs w:val="0"/>
        <w:i w:val="0"/>
        <w:iCs w:val="0"/>
      </w:rPr>
    </w:lvl>
    <w:lvl w:ilvl="4">
      <w:start w:val="1"/>
      <w:numFmt w:val="decimal"/>
      <w:lvlText w:val="%3.%4.%5."/>
      <w:lvlJc w:val="left"/>
      <w:pPr>
        <w:ind w:left="2835" w:hanging="1134"/>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99480F"/>
    <w:multiLevelType w:val="multilevel"/>
    <w:tmpl w:val="8C121FEE"/>
    <w:styleLink w:val="Huidigelijst2"/>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3.%4."/>
      <w:lvlJc w:val="left"/>
      <w:pPr>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95D482D"/>
    <w:multiLevelType w:val="hybridMultilevel"/>
    <w:tmpl w:val="19E49D38"/>
    <w:lvl w:ilvl="0" w:tplc="4E22D6B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3604D3"/>
    <w:multiLevelType w:val="multilevel"/>
    <w:tmpl w:val="01A449C4"/>
    <w:styleLink w:val="Huidigelijst12"/>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ascii="Calibri" w:hAnsi="Calibri" w:cs="Calibri" w:hint="default"/>
        <w:b/>
        <w:bCs/>
        <w:color w:val="000000" w:themeColor="text1"/>
      </w:rPr>
    </w:lvl>
    <w:lvl w:ilvl="3">
      <w:start w:val="1"/>
      <w:numFmt w:val="decimal"/>
      <w:lvlText w:val="%3.%4."/>
      <w:lvlJc w:val="left"/>
      <w:pPr>
        <w:ind w:left="2268" w:hanging="567"/>
      </w:pPr>
      <w:rPr>
        <w:rFonts w:hint="default"/>
        <w:b w:val="0"/>
        <w:bCs w:val="0"/>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4F6224"/>
    <w:multiLevelType w:val="multilevel"/>
    <w:tmpl w:val="231E8C40"/>
    <w:styleLink w:val="Huidigelijst4"/>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4."/>
      <w:lvlJc w:val="left"/>
      <w:pPr>
        <w:ind w:left="2268" w:hanging="1134"/>
      </w:pPr>
      <w:rPr>
        <w:rFonts w:hint="default"/>
      </w:rPr>
    </w:lvl>
    <w:lvl w:ilvl="4">
      <w:start w:val="1"/>
      <w:numFmt w:val="decimal"/>
      <w:lvlText w:val="%5°"/>
      <w:lvlJc w:val="left"/>
      <w:pPr>
        <w:ind w:left="2552"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130A25"/>
    <w:multiLevelType w:val="multilevel"/>
    <w:tmpl w:val="C16E4DA2"/>
    <w:styleLink w:val="Huidigelijst10"/>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C97500"/>
    <w:multiLevelType w:val="multilevel"/>
    <w:tmpl w:val="56E028E8"/>
    <w:styleLink w:val="Huidigelijst8"/>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1925159"/>
    <w:multiLevelType w:val="multilevel"/>
    <w:tmpl w:val="6D54CC62"/>
    <w:styleLink w:val="Huidigelijst7"/>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0A0B2B"/>
    <w:multiLevelType w:val="multilevel"/>
    <w:tmpl w:val="FBB4C21A"/>
    <w:styleLink w:val="Huidigelijst13"/>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ascii="Calibri" w:hAnsi="Calibri" w:cs="Calibri" w:hint="default"/>
        <w:b/>
        <w:bCs/>
        <w:color w:val="000000" w:themeColor="text1"/>
      </w:rPr>
    </w:lvl>
    <w:lvl w:ilvl="3">
      <w:start w:val="1"/>
      <w:numFmt w:val="decimal"/>
      <w:lvlText w:val="%3.%4."/>
      <w:lvlJc w:val="left"/>
      <w:pPr>
        <w:ind w:left="1701" w:hanging="1417"/>
      </w:pPr>
      <w:rPr>
        <w:rFonts w:hint="default"/>
        <w:b w:val="0"/>
        <w:bCs w:val="0"/>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41D5F28"/>
    <w:multiLevelType w:val="multilevel"/>
    <w:tmpl w:val="BB80C212"/>
    <w:styleLink w:val="Huidigelijst11"/>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ascii="Calibri" w:hAnsi="Calibri" w:cs="Calibri" w:hint="default"/>
        <w:b/>
        <w:bCs/>
        <w:color w:val="000000" w:themeColor="text1"/>
      </w:rPr>
    </w:lvl>
    <w:lvl w:ilvl="3">
      <w:start w:val="1"/>
      <w:numFmt w:val="decimal"/>
      <w:lvlText w:val="§%4."/>
      <w:lvlJc w:val="left"/>
      <w:pPr>
        <w:ind w:left="2268" w:hanging="567"/>
      </w:pPr>
      <w:rPr>
        <w:rFonts w:hint="default"/>
        <w:b w:val="0"/>
        <w:bCs w:val="0"/>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3752036">
    <w:abstractNumId w:val="5"/>
  </w:num>
  <w:num w:numId="2" w16cid:durableId="1015616176">
    <w:abstractNumId w:val="2"/>
  </w:num>
  <w:num w:numId="3" w16cid:durableId="891190264">
    <w:abstractNumId w:val="11"/>
  </w:num>
  <w:num w:numId="4" w16cid:durableId="1314259599">
    <w:abstractNumId w:val="0"/>
  </w:num>
  <w:num w:numId="5" w16cid:durableId="1263611583">
    <w:abstractNumId w:val="4"/>
  </w:num>
  <w:num w:numId="6" w16cid:durableId="1399203450">
    <w:abstractNumId w:val="14"/>
  </w:num>
  <w:num w:numId="7" w16cid:durableId="1572691680">
    <w:abstractNumId w:val="8"/>
  </w:num>
  <w:num w:numId="8" w16cid:durableId="501285896">
    <w:abstractNumId w:val="3"/>
  </w:num>
  <w:num w:numId="9" w16cid:durableId="74321284">
    <w:abstractNumId w:val="17"/>
  </w:num>
  <w:num w:numId="10" w16cid:durableId="1063719958">
    <w:abstractNumId w:val="16"/>
  </w:num>
  <w:num w:numId="11" w16cid:durableId="534342827">
    <w:abstractNumId w:val="10"/>
  </w:num>
  <w:num w:numId="12" w16cid:durableId="927542471">
    <w:abstractNumId w:val="9"/>
  </w:num>
  <w:num w:numId="13" w16cid:durableId="1604073266">
    <w:abstractNumId w:val="15"/>
  </w:num>
  <w:num w:numId="14" w16cid:durableId="598485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5701474">
    <w:abstractNumId w:val="10"/>
  </w:num>
  <w:num w:numId="16" w16cid:durableId="1703942553">
    <w:abstractNumId w:val="12"/>
  </w:num>
  <w:num w:numId="17" w16cid:durableId="1269004674">
    <w:abstractNumId w:val="19"/>
  </w:num>
  <w:num w:numId="18" w16cid:durableId="953514971">
    <w:abstractNumId w:val="0"/>
  </w:num>
  <w:num w:numId="19" w16cid:durableId="999112707">
    <w:abstractNumId w:val="13"/>
  </w:num>
  <w:num w:numId="20" w16cid:durableId="437454919">
    <w:abstractNumId w:val="18"/>
  </w:num>
  <w:num w:numId="21" w16cid:durableId="183057252">
    <w:abstractNumId w:val="6"/>
  </w:num>
  <w:num w:numId="22" w16cid:durableId="591551680">
    <w:abstractNumId w:val="1"/>
  </w:num>
  <w:num w:numId="23" w16cid:durableId="949551874">
    <w:abstractNumId w:val="0"/>
  </w:num>
  <w:num w:numId="24" w16cid:durableId="595098986">
    <w:abstractNumId w:val="0"/>
  </w:num>
  <w:num w:numId="25" w16cid:durableId="523130789">
    <w:abstractNumId w:val="0"/>
  </w:num>
  <w:num w:numId="26" w16cid:durableId="1646854568">
    <w:abstractNumId w:val="0"/>
  </w:num>
  <w:num w:numId="27" w16cid:durableId="487477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4786577">
    <w:abstractNumId w:val="0"/>
  </w:num>
  <w:num w:numId="29" w16cid:durableId="1693192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3F"/>
    <w:rsid w:val="00000DF0"/>
    <w:rsid w:val="000028ED"/>
    <w:rsid w:val="000038E7"/>
    <w:rsid w:val="00013114"/>
    <w:rsid w:val="00032C03"/>
    <w:rsid w:val="00032C3B"/>
    <w:rsid w:val="00040E7D"/>
    <w:rsid w:val="00041000"/>
    <w:rsid w:val="00042C85"/>
    <w:rsid w:val="000546E0"/>
    <w:rsid w:val="00071C2F"/>
    <w:rsid w:val="00076FDE"/>
    <w:rsid w:val="00083463"/>
    <w:rsid w:val="00091BEB"/>
    <w:rsid w:val="00091CED"/>
    <w:rsid w:val="000B23A9"/>
    <w:rsid w:val="000B3B9F"/>
    <w:rsid w:val="000B4DE9"/>
    <w:rsid w:val="000C0179"/>
    <w:rsid w:val="000C4EA1"/>
    <w:rsid w:val="000D3222"/>
    <w:rsid w:val="000D4962"/>
    <w:rsid w:val="000D6485"/>
    <w:rsid w:val="000E0B7D"/>
    <w:rsid w:val="000E724B"/>
    <w:rsid w:val="000F18D7"/>
    <w:rsid w:val="000F45F7"/>
    <w:rsid w:val="000F5964"/>
    <w:rsid w:val="00107A75"/>
    <w:rsid w:val="00107E6A"/>
    <w:rsid w:val="0011067E"/>
    <w:rsid w:val="00111CCC"/>
    <w:rsid w:val="00116C46"/>
    <w:rsid w:val="0012005E"/>
    <w:rsid w:val="00123A33"/>
    <w:rsid w:val="00124046"/>
    <w:rsid w:val="00127FA8"/>
    <w:rsid w:val="00141F20"/>
    <w:rsid w:val="00155750"/>
    <w:rsid w:val="001635F0"/>
    <w:rsid w:val="00167E23"/>
    <w:rsid w:val="00170081"/>
    <w:rsid w:val="00170A3D"/>
    <w:rsid w:val="00191E56"/>
    <w:rsid w:val="00196134"/>
    <w:rsid w:val="001A1D27"/>
    <w:rsid w:val="001A3672"/>
    <w:rsid w:val="001A52D6"/>
    <w:rsid w:val="001B538B"/>
    <w:rsid w:val="001C6BD5"/>
    <w:rsid w:val="001C7A92"/>
    <w:rsid w:val="001D19F1"/>
    <w:rsid w:val="001D23DB"/>
    <w:rsid w:val="001E0E1A"/>
    <w:rsid w:val="001E158D"/>
    <w:rsid w:val="001E3BAA"/>
    <w:rsid w:val="001E7DB6"/>
    <w:rsid w:val="001F667A"/>
    <w:rsid w:val="001F7630"/>
    <w:rsid w:val="00204DA4"/>
    <w:rsid w:val="00217103"/>
    <w:rsid w:val="00220C21"/>
    <w:rsid w:val="0022478F"/>
    <w:rsid w:val="00224D13"/>
    <w:rsid w:val="00231A55"/>
    <w:rsid w:val="00232907"/>
    <w:rsid w:val="0023566D"/>
    <w:rsid w:val="00245E15"/>
    <w:rsid w:val="0025156E"/>
    <w:rsid w:val="00252152"/>
    <w:rsid w:val="00260CE6"/>
    <w:rsid w:val="00262024"/>
    <w:rsid w:val="002631BD"/>
    <w:rsid w:val="00265DE7"/>
    <w:rsid w:val="00270B7D"/>
    <w:rsid w:val="00273674"/>
    <w:rsid w:val="0028142F"/>
    <w:rsid w:val="00294B1C"/>
    <w:rsid w:val="00295C6E"/>
    <w:rsid w:val="00297AFC"/>
    <w:rsid w:val="002A77A1"/>
    <w:rsid w:val="002B2D1C"/>
    <w:rsid w:val="002B427E"/>
    <w:rsid w:val="002B5EE9"/>
    <w:rsid w:val="002C0B41"/>
    <w:rsid w:val="002C2AE5"/>
    <w:rsid w:val="002C531D"/>
    <w:rsid w:val="002C6553"/>
    <w:rsid w:val="002D7DC4"/>
    <w:rsid w:val="002E3048"/>
    <w:rsid w:val="002E5F6D"/>
    <w:rsid w:val="002E66BB"/>
    <w:rsid w:val="002F6412"/>
    <w:rsid w:val="0030352C"/>
    <w:rsid w:val="00310111"/>
    <w:rsid w:val="00310E7C"/>
    <w:rsid w:val="003122DA"/>
    <w:rsid w:val="0031358C"/>
    <w:rsid w:val="00326431"/>
    <w:rsid w:val="003307BB"/>
    <w:rsid w:val="00330CB4"/>
    <w:rsid w:val="003429FD"/>
    <w:rsid w:val="003440DF"/>
    <w:rsid w:val="00344FDB"/>
    <w:rsid w:val="00350629"/>
    <w:rsid w:val="003530CB"/>
    <w:rsid w:val="003552F8"/>
    <w:rsid w:val="00361775"/>
    <w:rsid w:val="00364FAD"/>
    <w:rsid w:val="0037005D"/>
    <w:rsid w:val="00375D11"/>
    <w:rsid w:val="00386624"/>
    <w:rsid w:val="003B2E4B"/>
    <w:rsid w:val="003C267F"/>
    <w:rsid w:val="003C48CA"/>
    <w:rsid w:val="003E0464"/>
    <w:rsid w:val="003F1458"/>
    <w:rsid w:val="004055E8"/>
    <w:rsid w:val="004073F1"/>
    <w:rsid w:val="00415128"/>
    <w:rsid w:val="004237C3"/>
    <w:rsid w:val="00425B29"/>
    <w:rsid w:val="004330DE"/>
    <w:rsid w:val="0044019D"/>
    <w:rsid w:val="004518B3"/>
    <w:rsid w:val="00457234"/>
    <w:rsid w:val="00460EA7"/>
    <w:rsid w:val="00460F90"/>
    <w:rsid w:val="0046402B"/>
    <w:rsid w:val="00471C74"/>
    <w:rsid w:val="004848EA"/>
    <w:rsid w:val="004918D6"/>
    <w:rsid w:val="004929F0"/>
    <w:rsid w:val="00494439"/>
    <w:rsid w:val="00494B4F"/>
    <w:rsid w:val="00496989"/>
    <w:rsid w:val="00496E2D"/>
    <w:rsid w:val="004A06C6"/>
    <w:rsid w:val="004A53C3"/>
    <w:rsid w:val="004A5879"/>
    <w:rsid w:val="004B0129"/>
    <w:rsid w:val="004B054E"/>
    <w:rsid w:val="004B092F"/>
    <w:rsid w:val="004B2E90"/>
    <w:rsid w:val="004B7A0E"/>
    <w:rsid w:val="004B7F83"/>
    <w:rsid w:val="004C04AD"/>
    <w:rsid w:val="004D0B81"/>
    <w:rsid w:val="004D4FD3"/>
    <w:rsid w:val="004E251B"/>
    <w:rsid w:val="004E45BC"/>
    <w:rsid w:val="004E7E1A"/>
    <w:rsid w:val="004F12B0"/>
    <w:rsid w:val="004F5321"/>
    <w:rsid w:val="004F7563"/>
    <w:rsid w:val="004F7D08"/>
    <w:rsid w:val="005014F0"/>
    <w:rsid w:val="00502887"/>
    <w:rsid w:val="00505DE4"/>
    <w:rsid w:val="00520B9E"/>
    <w:rsid w:val="005272D2"/>
    <w:rsid w:val="00527A32"/>
    <w:rsid w:val="00530C97"/>
    <w:rsid w:val="0053581B"/>
    <w:rsid w:val="00541A46"/>
    <w:rsid w:val="00546330"/>
    <w:rsid w:val="00557846"/>
    <w:rsid w:val="00564425"/>
    <w:rsid w:val="00567B94"/>
    <w:rsid w:val="00571577"/>
    <w:rsid w:val="00576382"/>
    <w:rsid w:val="00582D38"/>
    <w:rsid w:val="005946CD"/>
    <w:rsid w:val="005A0255"/>
    <w:rsid w:val="005A215B"/>
    <w:rsid w:val="005A39F7"/>
    <w:rsid w:val="005A7996"/>
    <w:rsid w:val="005C14AB"/>
    <w:rsid w:val="005C5254"/>
    <w:rsid w:val="005C7E7F"/>
    <w:rsid w:val="005D6111"/>
    <w:rsid w:val="005E6C54"/>
    <w:rsid w:val="005F1E69"/>
    <w:rsid w:val="005F2635"/>
    <w:rsid w:val="00602658"/>
    <w:rsid w:val="006029F2"/>
    <w:rsid w:val="00606A60"/>
    <w:rsid w:val="0060711F"/>
    <w:rsid w:val="00612825"/>
    <w:rsid w:val="00617406"/>
    <w:rsid w:val="006177DE"/>
    <w:rsid w:val="00623F40"/>
    <w:rsid w:val="00627321"/>
    <w:rsid w:val="0062741D"/>
    <w:rsid w:val="00630713"/>
    <w:rsid w:val="006314F1"/>
    <w:rsid w:val="006324AD"/>
    <w:rsid w:val="006356CA"/>
    <w:rsid w:val="00635E6C"/>
    <w:rsid w:val="0064201C"/>
    <w:rsid w:val="006446ED"/>
    <w:rsid w:val="00647374"/>
    <w:rsid w:val="0065411F"/>
    <w:rsid w:val="00664F22"/>
    <w:rsid w:val="00666326"/>
    <w:rsid w:val="0067463F"/>
    <w:rsid w:val="00683645"/>
    <w:rsid w:val="006A3464"/>
    <w:rsid w:val="006A3522"/>
    <w:rsid w:val="006A4A4D"/>
    <w:rsid w:val="006B0301"/>
    <w:rsid w:val="006B0827"/>
    <w:rsid w:val="006B6DB4"/>
    <w:rsid w:val="006B7461"/>
    <w:rsid w:val="006C0D3D"/>
    <w:rsid w:val="006D377E"/>
    <w:rsid w:val="006D3C53"/>
    <w:rsid w:val="006E1CCD"/>
    <w:rsid w:val="006F1388"/>
    <w:rsid w:val="006F1798"/>
    <w:rsid w:val="007057C3"/>
    <w:rsid w:val="0071094D"/>
    <w:rsid w:val="007111D0"/>
    <w:rsid w:val="0071125B"/>
    <w:rsid w:val="00713DA1"/>
    <w:rsid w:val="0071667E"/>
    <w:rsid w:val="007248DB"/>
    <w:rsid w:val="00724953"/>
    <w:rsid w:val="00725E5E"/>
    <w:rsid w:val="00730489"/>
    <w:rsid w:val="00730F1D"/>
    <w:rsid w:val="00747C76"/>
    <w:rsid w:val="007536E1"/>
    <w:rsid w:val="0075625B"/>
    <w:rsid w:val="00762BAA"/>
    <w:rsid w:val="00772607"/>
    <w:rsid w:val="007737FD"/>
    <w:rsid w:val="0077517D"/>
    <w:rsid w:val="007763F3"/>
    <w:rsid w:val="007769E8"/>
    <w:rsid w:val="00777975"/>
    <w:rsid w:val="007811A2"/>
    <w:rsid w:val="0078144B"/>
    <w:rsid w:val="00792B0E"/>
    <w:rsid w:val="00795448"/>
    <w:rsid w:val="0079703D"/>
    <w:rsid w:val="007B0DEC"/>
    <w:rsid w:val="007B5055"/>
    <w:rsid w:val="007C1E8F"/>
    <w:rsid w:val="007C3636"/>
    <w:rsid w:val="007D3481"/>
    <w:rsid w:val="007D42A1"/>
    <w:rsid w:val="007D547C"/>
    <w:rsid w:val="007E2A27"/>
    <w:rsid w:val="007E3F99"/>
    <w:rsid w:val="007E5FE0"/>
    <w:rsid w:val="007E6740"/>
    <w:rsid w:val="007E74BE"/>
    <w:rsid w:val="008006F7"/>
    <w:rsid w:val="00804F67"/>
    <w:rsid w:val="00810C08"/>
    <w:rsid w:val="00811004"/>
    <w:rsid w:val="00813571"/>
    <w:rsid w:val="00814C7F"/>
    <w:rsid w:val="00817395"/>
    <w:rsid w:val="008179EF"/>
    <w:rsid w:val="008229F4"/>
    <w:rsid w:val="00834F82"/>
    <w:rsid w:val="00835E7D"/>
    <w:rsid w:val="00843331"/>
    <w:rsid w:val="0085165E"/>
    <w:rsid w:val="00851D3D"/>
    <w:rsid w:val="00855928"/>
    <w:rsid w:val="008559CE"/>
    <w:rsid w:val="008612B5"/>
    <w:rsid w:val="00863C50"/>
    <w:rsid w:val="00872023"/>
    <w:rsid w:val="00884DFF"/>
    <w:rsid w:val="008902FB"/>
    <w:rsid w:val="008A23C0"/>
    <w:rsid w:val="008A6390"/>
    <w:rsid w:val="008B3C03"/>
    <w:rsid w:val="008B4454"/>
    <w:rsid w:val="008B5B55"/>
    <w:rsid w:val="008B7DB3"/>
    <w:rsid w:val="008C7258"/>
    <w:rsid w:val="008C751C"/>
    <w:rsid w:val="008D2F69"/>
    <w:rsid w:val="008D5D3A"/>
    <w:rsid w:val="008D5F5B"/>
    <w:rsid w:val="008E1972"/>
    <w:rsid w:val="008F190D"/>
    <w:rsid w:val="009110EA"/>
    <w:rsid w:val="00926325"/>
    <w:rsid w:val="00927DFE"/>
    <w:rsid w:val="009309F4"/>
    <w:rsid w:val="00963925"/>
    <w:rsid w:val="009679D5"/>
    <w:rsid w:val="00970428"/>
    <w:rsid w:val="009918C5"/>
    <w:rsid w:val="0099226A"/>
    <w:rsid w:val="009A3AD9"/>
    <w:rsid w:val="009A6360"/>
    <w:rsid w:val="009A697F"/>
    <w:rsid w:val="009B26F5"/>
    <w:rsid w:val="009B3495"/>
    <w:rsid w:val="009B3AF5"/>
    <w:rsid w:val="009B56B0"/>
    <w:rsid w:val="009B6523"/>
    <w:rsid w:val="009C181E"/>
    <w:rsid w:val="009C4906"/>
    <w:rsid w:val="009C4D6A"/>
    <w:rsid w:val="009D2B1A"/>
    <w:rsid w:val="009D424D"/>
    <w:rsid w:val="009E7674"/>
    <w:rsid w:val="009F4B9A"/>
    <w:rsid w:val="009F52AE"/>
    <w:rsid w:val="00A00062"/>
    <w:rsid w:val="00A21661"/>
    <w:rsid w:val="00A21675"/>
    <w:rsid w:val="00A37B55"/>
    <w:rsid w:val="00A423BF"/>
    <w:rsid w:val="00A44EED"/>
    <w:rsid w:val="00A61932"/>
    <w:rsid w:val="00A66E66"/>
    <w:rsid w:val="00A67873"/>
    <w:rsid w:val="00A70121"/>
    <w:rsid w:val="00A71DF5"/>
    <w:rsid w:val="00A743BC"/>
    <w:rsid w:val="00A744EF"/>
    <w:rsid w:val="00A74807"/>
    <w:rsid w:val="00A77193"/>
    <w:rsid w:val="00A84940"/>
    <w:rsid w:val="00A9148F"/>
    <w:rsid w:val="00A97E53"/>
    <w:rsid w:val="00AA7208"/>
    <w:rsid w:val="00AB2A52"/>
    <w:rsid w:val="00AD0079"/>
    <w:rsid w:val="00AD2F83"/>
    <w:rsid w:val="00AE291D"/>
    <w:rsid w:val="00AF0072"/>
    <w:rsid w:val="00AF74A5"/>
    <w:rsid w:val="00B000F1"/>
    <w:rsid w:val="00B07EFF"/>
    <w:rsid w:val="00B13068"/>
    <w:rsid w:val="00B17EC6"/>
    <w:rsid w:val="00B26CC1"/>
    <w:rsid w:val="00B2727C"/>
    <w:rsid w:val="00B30E9A"/>
    <w:rsid w:val="00B3631D"/>
    <w:rsid w:val="00B36521"/>
    <w:rsid w:val="00B44075"/>
    <w:rsid w:val="00B5416C"/>
    <w:rsid w:val="00B55E56"/>
    <w:rsid w:val="00B612B2"/>
    <w:rsid w:val="00B63417"/>
    <w:rsid w:val="00B64BF4"/>
    <w:rsid w:val="00B66B67"/>
    <w:rsid w:val="00B7366D"/>
    <w:rsid w:val="00B743C9"/>
    <w:rsid w:val="00B80F31"/>
    <w:rsid w:val="00B83F1B"/>
    <w:rsid w:val="00B86D27"/>
    <w:rsid w:val="00B87413"/>
    <w:rsid w:val="00B903A9"/>
    <w:rsid w:val="00B928D6"/>
    <w:rsid w:val="00B97932"/>
    <w:rsid w:val="00BA65AB"/>
    <w:rsid w:val="00BB6F3F"/>
    <w:rsid w:val="00BC022A"/>
    <w:rsid w:val="00BC4EB3"/>
    <w:rsid w:val="00BD18A4"/>
    <w:rsid w:val="00BE0D62"/>
    <w:rsid w:val="00BE5225"/>
    <w:rsid w:val="00BF094F"/>
    <w:rsid w:val="00BF0DAB"/>
    <w:rsid w:val="00BF4915"/>
    <w:rsid w:val="00BF595A"/>
    <w:rsid w:val="00C01860"/>
    <w:rsid w:val="00C02ECC"/>
    <w:rsid w:val="00C12E4C"/>
    <w:rsid w:val="00C159D4"/>
    <w:rsid w:val="00C178BE"/>
    <w:rsid w:val="00C2208A"/>
    <w:rsid w:val="00C229ED"/>
    <w:rsid w:val="00C24680"/>
    <w:rsid w:val="00C3193F"/>
    <w:rsid w:val="00C31CAF"/>
    <w:rsid w:val="00C36815"/>
    <w:rsid w:val="00C41484"/>
    <w:rsid w:val="00C42E85"/>
    <w:rsid w:val="00C43F9F"/>
    <w:rsid w:val="00C54E90"/>
    <w:rsid w:val="00C55F04"/>
    <w:rsid w:val="00C5728A"/>
    <w:rsid w:val="00C600BF"/>
    <w:rsid w:val="00C6426B"/>
    <w:rsid w:val="00C74030"/>
    <w:rsid w:val="00C74A9B"/>
    <w:rsid w:val="00C8004E"/>
    <w:rsid w:val="00C80783"/>
    <w:rsid w:val="00C907F1"/>
    <w:rsid w:val="00C911DA"/>
    <w:rsid w:val="00C95862"/>
    <w:rsid w:val="00CA7595"/>
    <w:rsid w:val="00CB9BA9"/>
    <w:rsid w:val="00CC06A4"/>
    <w:rsid w:val="00CC20A1"/>
    <w:rsid w:val="00CC6628"/>
    <w:rsid w:val="00CD683B"/>
    <w:rsid w:val="00CE0577"/>
    <w:rsid w:val="00CE6081"/>
    <w:rsid w:val="00CF0AF8"/>
    <w:rsid w:val="00CF51D5"/>
    <w:rsid w:val="00D04572"/>
    <w:rsid w:val="00D065DC"/>
    <w:rsid w:val="00D150FA"/>
    <w:rsid w:val="00D17807"/>
    <w:rsid w:val="00D26B20"/>
    <w:rsid w:val="00D30050"/>
    <w:rsid w:val="00D41104"/>
    <w:rsid w:val="00D426CC"/>
    <w:rsid w:val="00D43DEB"/>
    <w:rsid w:val="00D44FFE"/>
    <w:rsid w:val="00D4534A"/>
    <w:rsid w:val="00D52766"/>
    <w:rsid w:val="00D52DAA"/>
    <w:rsid w:val="00D6122B"/>
    <w:rsid w:val="00D615E1"/>
    <w:rsid w:val="00D6331C"/>
    <w:rsid w:val="00D7267E"/>
    <w:rsid w:val="00D77801"/>
    <w:rsid w:val="00D8126C"/>
    <w:rsid w:val="00D82223"/>
    <w:rsid w:val="00D87634"/>
    <w:rsid w:val="00D87CC4"/>
    <w:rsid w:val="00D9569E"/>
    <w:rsid w:val="00DA27BF"/>
    <w:rsid w:val="00DA6456"/>
    <w:rsid w:val="00DB2C6E"/>
    <w:rsid w:val="00DB4EE4"/>
    <w:rsid w:val="00DC22DD"/>
    <w:rsid w:val="00DC2A3E"/>
    <w:rsid w:val="00DC3DC6"/>
    <w:rsid w:val="00DD4EC0"/>
    <w:rsid w:val="00DD50E7"/>
    <w:rsid w:val="00DD6A51"/>
    <w:rsid w:val="00DE04CA"/>
    <w:rsid w:val="00DE22F1"/>
    <w:rsid w:val="00DE3BC0"/>
    <w:rsid w:val="00DE7E44"/>
    <w:rsid w:val="00DF02A2"/>
    <w:rsid w:val="00DF233B"/>
    <w:rsid w:val="00E1434F"/>
    <w:rsid w:val="00E213D2"/>
    <w:rsid w:val="00E312BA"/>
    <w:rsid w:val="00E40AE7"/>
    <w:rsid w:val="00E43DDE"/>
    <w:rsid w:val="00E53226"/>
    <w:rsid w:val="00E669F7"/>
    <w:rsid w:val="00E7005D"/>
    <w:rsid w:val="00E714F5"/>
    <w:rsid w:val="00E71AC7"/>
    <w:rsid w:val="00E81049"/>
    <w:rsid w:val="00E840C4"/>
    <w:rsid w:val="00E868A4"/>
    <w:rsid w:val="00E9105E"/>
    <w:rsid w:val="00E952D4"/>
    <w:rsid w:val="00E957C0"/>
    <w:rsid w:val="00EA75BA"/>
    <w:rsid w:val="00EB2829"/>
    <w:rsid w:val="00EB3BB4"/>
    <w:rsid w:val="00EB3CBD"/>
    <w:rsid w:val="00EC0D7A"/>
    <w:rsid w:val="00ED0238"/>
    <w:rsid w:val="00ED1F23"/>
    <w:rsid w:val="00ED2397"/>
    <w:rsid w:val="00ED5228"/>
    <w:rsid w:val="00EE7D84"/>
    <w:rsid w:val="00EF026A"/>
    <w:rsid w:val="00EF6DBB"/>
    <w:rsid w:val="00F01958"/>
    <w:rsid w:val="00F045F3"/>
    <w:rsid w:val="00F04D10"/>
    <w:rsid w:val="00F070FF"/>
    <w:rsid w:val="00F11473"/>
    <w:rsid w:val="00F13130"/>
    <w:rsid w:val="00F131FE"/>
    <w:rsid w:val="00F26BE8"/>
    <w:rsid w:val="00F439DF"/>
    <w:rsid w:val="00F5091D"/>
    <w:rsid w:val="00F5197A"/>
    <w:rsid w:val="00F5602B"/>
    <w:rsid w:val="00F56753"/>
    <w:rsid w:val="00F57B9A"/>
    <w:rsid w:val="00F61BE0"/>
    <w:rsid w:val="00F71029"/>
    <w:rsid w:val="00F73F0D"/>
    <w:rsid w:val="00F80FC7"/>
    <w:rsid w:val="00F83DB7"/>
    <w:rsid w:val="00F93285"/>
    <w:rsid w:val="00F95896"/>
    <w:rsid w:val="00FA1A72"/>
    <w:rsid w:val="00FA3B0E"/>
    <w:rsid w:val="00FB0DB0"/>
    <w:rsid w:val="00FB6F94"/>
    <w:rsid w:val="00FC7DC1"/>
    <w:rsid w:val="00FD1DC1"/>
    <w:rsid w:val="00FE3549"/>
    <w:rsid w:val="00FE3D0E"/>
    <w:rsid w:val="00FE5AE6"/>
    <w:rsid w:val="00FE670D"/>
    <w:rsid w:val="00FE755C"/>
    <w:rsid w:val="00FF1E5F"/>
    <w:rsid w:val="00FF513F"/>
    <w:rsid w:val="0174A9FE"/>
    <w:rsid w:val="0265CFA6"/>
    <w:rsid w:val="036FD03D"/>
    <w:rsid w:val="07035617"/>
    <w:rsid w:val="0B3A56BD"/>
    <w:rsid w:val="0C69B7BB"/>
    <w:rsid w:val="0CB06757"/>
    <w:rsid w:val="0FF7F2C7"/>
    <w:rsid w:val="159A9313"/>
    <w:rsid w:val="195FC3E8"/>
    <w:rsid w:val="1AFBEBC4"/>
    <w:rsid w:val="1BE622B7"/>
    <w:rsid w:val="2130BECD"/>
    <w:rsid w:val="2601A4E6"/>
    <w:rsid w:val="2633EC44"/>
    <w:rsid w:val="26AB025F"/>
    <w:rsid w:val="27D0C8D0"/>
    <w:rsid w:val="2810D60C"/>
    <w:rsid w:val="2C396963"/>
    <w:rsid w:val="3AE118E2"/>
    <w:rsid w:val="43E8B27E"/>
    <w:rsid w:val="44102ACE"/>
    <w:rsid w:val="46C25E44"/>
    <w:rsid w:val="47175682"/>
    <w:rsid w:val="4721CED7"/>
    <w:rsid w:val="49EF8DA0"/>
    <w:rsid w:val="4D29EFE6"/>
    <w:rsid w:val="4D6F07DD"/>
    <w:rsid w:val="4EB8617C"/>
    <w:rsid w:val="5762078A"/>
    <w:rsid w:val="5A624C9D"/>
    <w:rsid w:val="5C10399B"/>
    <w:rsid w:val="647D1BD4"/>
    <w:rsid w:val="6979249B"/>
    <w:rsid w:val="6A9997AB"/>
    <w:rsid w:val="6C0F8755"/>
    <w:rsid w:val="7233CAEF"/>
    <w:rsid w:val="789050B3"/>
    <w:rsid w:val="78E73AF7"/>
    <w:rsid w:val="7A4AD9FE"/>
    <w:rsid w:val="7D0CFB66"/>
    <w:rsid w:val="7DBEB81B"/>
    <w:rsid w:val="7DFB694E"/>
    <w:rsid w:val="7F8AD8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AB5A"/>
  <w15:chartTrackingRefBased/>
  <w15:docId w15:val="{B9094767-80A1-D547-BAFA-1852197C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463F"/>
    <w:pPr>
      <w:keepNext/>
      <w:keepLines/>
      <w:numPr>
        <w:numId w:val="15"/>
      </w:numPr>
      <w:spacing w:before="240" w:after="240"/>
      <w:outlineLvl w:val="0"/>
    </w:pPr>
    <w:rPr>
      <w:rFonts w:ascii="Calibri" w:eastAsiaTheme="majorEastAsia" w:hAnsi="Calibri" w:cs="Calibri"/>
      <w:b/>
      <w:bCs/>
      <w:color w:val="000000" w:themeColor="text1"/>
      <w:u w:val="single"/>
    </w:rPr>
  </w:style>
  <w:style w:type="paragraph" w:styleId="Titre2">
    <w:name w:val="heading 2"/>
    <w:basedOn w:val="Listenumros"/>
    <w:next w:val="Normal"/>
    <w:link w:val="Titre2Car"/>
    <w:uiPriority w:val="9"/>
    <w:unhideWhenUsed/>
    <w:qFormat/>
    <w:rsid w:val="00E957C0"/>
    <w:pPr>
      <w:numPr>
        <w:ilvl w:val="1"/>
        <w:numId w:val="15"/>
      </w:numPr>
      <w:spacing w:before="240" w:after="240"/>
      <w:outlineLvl w:val="1"/>
    </w:pPr>
    <w:rPr>
      <w:b/>
      <w:bCs/>
      <w:i/>
      <w:iCs/>
    </w:rPr>
  </w:style>
  <w:style w:type="paragraph" w:styleId="Titre3">
    <w:name w:val="heading 3"/>
    <w:basedOn w:val="Normal"/>
    <w:next w:val="Normal"/>
    <w:link w:val="Titre3Car"/>
    <w:uiPriority w:val="9"/>
    <w:unhideWhenUsed/>
    <w:qFormat/>
    <w:rsid w:val="00232907"/>
    <w:pPr>
      <w:keepNext/>
      <w:keepLines/>
      <w:numPr>
        <w:ilvl w:val="2"/>
        <w:numId w:val="15"/>
      </w:numPr>
      <w:spacing w:before="160" w:after="160"/>
      <w:outlineLvl w:val="2"/>
    </w:pPr>
    <w:rPr>
      <w:rFonts w:ascii="Calibri" w:eastAsiaTheme="majorEastAsia" w:hAnsi="Calibri" w:cs="Calibri"/>
      <w:b/>
      <w:bCs/>
      <w:color w:val="000000" w:themeColor="tex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463F"/>
    <w:rPr>
      <w:rFonts w:ascii="Calibri" w:eastAsiaTheme="majorEastAsia" w:hAnsi="Calibri" w:cs="Calibri"/>
      <w:b/>
      <w:bCs/>
      <w:color w:val="000000" w:themeColor="text1"/>
      <w:u w:val="single"/>
      <w:lang w:val="fr-BE"/>
    </w:rPr>
  </w:style>
  <w:style w:type="numbering" w:customStyle="1" w:styleId="Huidigelijst1">
    <w:name w:val="Huidige lijst1"/>
    <w:uiPriority w:val="99"/>
    <w:rsid w:val="0067463F"/>
    <w:pPr>
      <w:numPr>
        <w:numId w:val="2"/>
      </w:numPr>
    </w:pPr>
  </w:style>
  <w:style w:type="character" w:customStyle="1" w:styleId="Titre2Car">
    <w:name w:val="Titre 2 Car"/>
    <w:basedOn w:val="Policepardfaut"/>
    <w:link w:val="Titre2"/>
    <w:uiPriority w:val="9"/>
    <w:rsid w:val="00E957C0"/>
    <w:rPr>
      <w:b/>
      <w:bCs/>
      <w:i/>
      <w:iCs/>
    </w:rPr>
  </w:style>
  <w:style w:type="numbering" w:customStyle="1" w:styleId="Huidigelijst2">
    <w:name w:val="Huidige lijst2"/>
    <w:uiPriority w:val="99"/>
    <w:rsid w:val="0067463F"/>
    <w:pPr>
      <w:numPr>
        <w:numId w:val="3"/>
      </w:numPr>
    </w:pPr>
  </w:style>
  <w:style w:type="paragraph" w:styleId="Listenumros">
    <w:name w:val="List Number"/>
    <w:basedOn w:val="Normal"/>
    <w:uiPriority w:val="99"/>
    <w:unhideWhenUsed/>
    <w:rsid w:val="0067463F"/>
    <w:pPr>
      <w:contextualSpacing/>
    </w:pPr>
  </w:style>
  <w:style w:type="paragraph" w:styleId="Paragraphedeliste">
    <w:name w:val="List Paragraph"/>
    <w:basedOn w:val="Normal"/>
    <w:uiPriority w:val="34"/>
    <w:qFormat/>
    <w:rsid w:val="0067463F"/>
    <w:pPr>
      <w:ind w:left="720"/>
      <w:contextualSpacing/>
    </w:pPr>
  </w:style>
  <w:style w:type="numbering" w:customStyle="1" w:styleId="Huidigelijst3">
    <w:name w:val="Huidige lijst3"/>
    <w:uiPriority w:val="99"/>
    <w:rsid w:val="00494B4F"/>
    <w:pPr>
      <w:numPr>
        <w:numId w:val="5"/>
      </w:numPr>
    </w:pPr>
  </w:style>
  <w:style w:type="numbering" w:customStyle="1" w:styleId="Huidigelijst4">
    <w:name w:val="Huidige lijst4"/>
    <w:uiPriority w:val="99"/>
    <w:rsid w:val="00494B4F"/>
    <w:pPr>
      <w:numPr>
        <w:numId w:val="6"/>
      </w:numPr>
    </w:pPr>
  </w:style>
  <w:style w:type="numbering" w:customStyle="1" w:styleId="Huidigelijst5">
    <w:name w:val="Huidige lijst5"/>
    <w:uiPriority w:val="99"/>
    <w:rsid w:val="00494B4F"/>
    <w:pPr>
      <w:numPr>
        <w:numId w:val="7"/>
      </w:numPr>
    </w:pPr>
  </w:style>
  <w:style w:type="numbering" w:customStyle="1" w:styleId="Huidigelijst6">
    <w:name w:val="Huidige lijst6"/>
    <w:uiPriority w:val="99"/>
    <w:rsid w:val="005A7996"/>
    <w:pPr>
      <w:numPr>
        <w:numId w:val="8"/>
      </w:numPr>
    </w:pPr>
  </w:style>
  <w:style w:type="numbering" w:customStyle="1" w:styleId="Huidigelijst7">
    <w:name w:val="Huidige lijst7"/>
    <w:uiPriority w:val="99"/>
    <w:rsid w:val="005A7996"/>
    <w:pPr>
      <w:numPr>
        <w:numId w:val="9"/>
      </w:numPr>
    </w:pPr>
  </w:style>
  <w:style w:type="numbering" w:customStyle="1" w:styleId="Huidigelijst8">
    <w:name w:val="Huidige lijst8"/>
    <w:uiPriority w:val="99"/>
    <w:rsid w:val="005A7996"/>
    <w:pPr>
      <w:numPr>
        <w:numId w:val="10"/>
      </w:numPr>
    </w:pPr>
  </w:style>
  <w:style w:type="numbering" w:customStyle="1" w:styleId="Huidigelijst9">
    <w:name w:val="Huidige lijst9"/>
    <w:uiPriority w:val="99"/>
    <w:rsid w:val="00232907"/>
    <w:pPr>
      <w:numPr>
        <w:numId w:val="12"/>
      </w:numPr>
    </w:pPr>
  </w:style>
  <w:style w:type="numbering" w:customStyle="1" w:styleId="Huidigelijst10">
    <w:name w:val="Huidige lijst10"/>
    <w:uiPriority w:val="99"/>
    <w:rsid w:val="00232907"/>
    <w:pPr>
      <w:numPr>
        <w:numId w:val="13"/>
      </w:numPr>
    </w:pPr>
  </w:style>
  <w:style w:type="character" w:customStyle="1" w:styleId="Titre3Car">
    <w:name w:val="Titre 3 Car"/>
    <w:basedOn w:val="Policepardfaut"/>
    <w:link w:val="Titre3"/>
    <w:uiPriority w:val="9"/>
    <w:rsid w:val="00232907"/>
    <w:rPr>
      <w:rFonts w:ascii="Calibri" w:eastAsiaTheme="majorEastAsia" w:hAnsi="Calibri" w:cs="Calibri"/>
      <w:b/>
      <w:bCs/>
      <w:color w:val="000000" w:themeColor="text1"/>
    </w:rPr>
  </w:style>
  <w:style w:type="paragraph" w:styleId="En-ttedetabledesmatires">
    <w:name w:val="TOC Heading"/>
    <w:basedOn w:val="Titre1"/>
    <w:next w:val="Normal"/>
    <w:uiPriority w:val="39"/>
    <w:unhideWhenUsed/>
    <w:qFormat/>
    <w:rsid w:val="00232907"/>
    <w:pPr>
      <w:numPr>
        <w:numId w:val="0"/>
      </w:numPr>
      <w:spacing w:before="480" w:after="0" w:line="276" w:lineRule="auto"/>
      <w:outlineLvl w:val="9"/>
    </w:pPr>
    <w:rPr>
      <w:rFonts w:asciiTheme="majorHAnsi" w:hAnsiTheme="majorHAnsi" w:cstheme="majorBidi"/>
      <w:color w:val="2F5496" w:themeColor="accent1" w:themeShade="BF"/>
      <w:sz w:val="28"/>
      <w:szCs w:val="28"/>
      <w:u w:val="none"/>
      <w:lang w:eastAsia="nl-NL"/>
    </w:rPr>
  </w:style>
  <w:style w:type="paragraph" w:styleId="TM1">
    <w:name w:val="toc 1"/>
    <w:basedOn w:val="Normal"/>
    <w:next w:val="Normal"/>
    <w:autoRedefine/>
    <w:uiPriority w:val="39"/>
    <w:unhideWhenUsed/>
    <w:rsid w:val="007763F3"/>
    <w:pPr>
      <w:tabs>
        <w:tab w:val="left" w:pos="1440"/>
        <w:tab w:val="right" w:leader="dot" w:pos="9060"/>
      </w:tabs>
      <w:spacing w:before="240" w:after="120"/>
    </w:pPr>
    <w:rPr>
      <w:rFonts w:cstheme="minorHAnsi"/>
      <w:b/>
      <w:bCs/>
      <w:sz w:val="20"/>
      <w:szCs w:val="20"/>
    </w:rPr>
  </w:style>
  <w:style w:type="paragraph" w:styleId="TM3">
    <w:name w:val="toc 3"/>
    <w:basedOn w:val="Normal"/>
    <w:next w:val="Normal"/>
    <w:autoRedefine/>
    <w:uiPriority w:val="39"/>
    <w:unhideWhenUsed/>
    <w:rsid w:val="00232907"/>
    <w:pPr>
      <w:ind w:left="480"/>
    </w:pPr>
    <w:rPr>
      <w:rFonts w:cstheme="minorHAnsi"/>
      <w:sz w:val="20"/>
      <w:szCs w:val="20"/>
    </w:rPr>
  </w:style>
  <w:style w:type="paragraph" w:styleId="TM2">
    <w:name w:val="toc 2"/>
    <w:basedOn w:val="Normal"/>
    <w:next w:val="Normal"/>
    <w:autoRedefine/>
    <w:uiPriority w:val="39"/>
    <w:unhideWhenUsed/>
    <w:rsid w:val="00232907"/>
    <w:pPr>
      <w:spacing w:before="120"/>
      <w:ind w:left="240"/>
    </w:pPr>
    <w:rPr>
      <w:rFonts w:cstheme="minorHAnsi"/>
      <w:i/>
      <w:iCs/>
      <w:sz w:val="20"/>
      <w:szCs w:val="20"/>
    </w:rPr>
  </w:style>
  <w:style w:type="character" w:styleId="Lienhypertexte">
    <w:name w:val="Hyperlink"/>
    <w:basedOn w:val="Policepardfaut"/>
    <w:uiPriority w:val="99"/>
    <w:unhideWhenUsed/>
    <w:rsid w:val="00232907"/>
    <w:rPr>
      <w:color w:val="0563C1" w:themeColor="hyperlink"/>
      <w:u w:val="single"/>
    </w:rPr>
  </w:style>
  <w:style w:type="paragraph" w:styleId="TM4">
    <w:name w:val="toc 4"/>
    <w:basedOn w:val="Normal"/>
    <w:next w:val="Normal"/>
    <w:autoRedefine/>
    <w:uiPriority w:val="39"/>
    <w:semiHidden/>
    <w:unhideWhenUsed/>
    <w:rsid w:val="00232907"/>
    <w:pPr>
      <w:ind w:left="720"/>
    </w:pPr>
    <w:rPr>
      <w:rFonts w:cstheme="minorHAnsi"/>
      <w:sz w:val="20"/>
      <w:szCs w:val="20"/>
    </w:rPr>
  </w:style>
  <w:style w:type="paragraph" w:styleId="TM5">
    <w:name w:val="toc 5"/>
    <w:basedOn w:val="Normal"/>
    <w:next w:val="Normal"/>
    <w:autoRedefine/>
    <w:uiPriority w:val="39"/>
    <w:semiHidden/>
    <w:unhideWhenUsed/>
    <w:rsid w:val="00232907"/>
    <w:pPr>
      <w:ind w:left="960"/>
    </w:pPr>
    <w:rPr>
      <w:rFonts w:cstheme="minorHAnsi"/>
      <w:sz w:val="20"/>
      <w:szCs w:val="20"/>
    </w:rPr>
  </w:style>
  <w:style w:type="paragraph" w:styleId="TM6">
    <w:name w:val="toc 6"/>
    <w:basedOn w:val="Normal"/>
    <w:next w:val="Normal"/>
    <w:autoRedefine/>
    <w:uiPriority w:val="39"/>
    <w:semiHidden/>
    <w:unhideWhenUsed/>
    <w:rsid w:val="00232907"/>
    <w:pPr>
      <w:ind w:left="1200"/>
    </w:pPr>
    <w:rPr>
      <w:rFonts w:cstheme="minorHAnsi"/>
      <w:sz w:val="20"/>
      <w:szCs w:val="20"/>
    </w:rPr>
  </w:style>
  <w:style w:type="paragraph" w:styleId="TM7">
    <w:name w:val="toc 7"/>
    <w:basedOn w:val="Normal"/>
    <w:next w:val="Normal"/>
    <w:autoRedefine/>
    <w:uiPriority w:val="39"/>
    <w:semiHidden/>
    <w:unhideWhenUsed/>
    <w:rsid w:val="00232907"/>
    <w:pPr>
      <w:ind w:left="1440"/>
    </w:pPr>
    <w:rPr>
      <w:rFonts w:cstheme="minorHAnsi"/>
      <w:sz w:val="20"/>
      <w:szCs w:val="20"/>
    </w:rPr>
  </w:style>
  <w:style w:type="paragraph" w:styleId="TM8">
    <w:name w:val="toc 8"/>
    <w:basedOn w:val="Normal"/>
    <w:next w:val="Normal"/>
    <w:autoRedefine/>
    <w:uiPriority w:val="39"/>
    <w:semiHidden/>
    <w:unhideWhenUsed/>
    <w:rsid w:val="00232907"/>
    <w:pPr>
      <w:ind w:left="1680"/>
    </w:pPr>
    <w:rPr>
      <w:rFonts w:cstheme="minorHAnsi"/>
      <w:sz w:val="20"/>
      <w:szCs w:val="20"/>
    </w:rPr>
  </w:style>
  <w:style w:type="paragraph" w:styleId="TM9">
    <w:name w:val="toc 9"/>
    <w:basedOn w:val="Normal"/>
    <w:next w:val="Normal"/>
    <w:autoRedefine/>
    <w:uiPriority w:val="39"/>
    <w:semiHidden/>
    <w:unhideWhenUsed/>
    <w:rsid w:val="00232907"/>
    <w:pPr>
      <w:ind w:left="1920"/>
    </w:pPr>
    <w:rPr>
      <w:rFonts w:cstheme="minorHAnsi"/>
      <w:sz w:val="20"/>
      <w:szCs w:val="20"/>
    </w:rPr>
  </w:style>
  <w:style w:type="paragraph" w:styleId="En-tte">
    <w:name w:val="header"/>
    <w:basedOn w:val="Normal"/>
    <w:link w:val="En-tteCar"/>
    <w:uiPriority w:val="99"/>
    <w:unhideWhenUsed/>
    <w:rsid w:val="00386624"/>
    <w:pPr>
      <w:tabs>
        <w:tab w:val="center" w:pos="4536"/>
        <w:tab w:val="right" w:pos="9072"/>
      </w:tabs>
    </w:pPr>
  </w:style>
  <w:style w:type="character" w:customStyle="1" w:styleId="En-tteCar">
    <w:name w:val="En-tête Car"/>
    <w:basedOn w:val="Policepardfaut"/>
    <w:link w:val="En-tte"/>
    <w:uiPriority w:val="99"/>
    <w:rsid w:val="00386624"/>
  </w:style>
  <w:style w:type="paragraph" w:styleId="Pieddepage">
    <w:name w:val="footer"/>
    <w:basedOn w:val="Normal"/>
    <w:link w:val="PieddepageCar"/>
    <w:uiPriority w:val="99"/>
    <w:unhideWhenUsed/>
    <w:rsid w:val="00386624"/>
    <w:pPr>
      <w:tabs>
        <w:tab w:val="center" w:pos="4536"/>
        <w:tab w:val="right" w:pos="9072"/>
      </w:tabs>
    </w:pPr>
  </w:style>
  <w:style w:type="character" w:customStyle="1" w:styleId="PieddepageCar">
    <w:name w:val="Pied de page Car"/>
    <w:basedOn w:val="Policepardfaut"/>
    <w:link w:val="Pieddepage"/>
    <w:uiPriority w:val="99"/>
    <w:rsid w:val="00386624"/>
  </w:style>
  <w:style w:type="character" w:styleId="Marquedecommentaire">
    <w:name w:val="annotation reference"/>
    <w:basedOn w:val="Policepardfaut"/>
    <w:uiPriority w:val="99"/>
    <w:semiHidden/>
    <w:unhideWhenUsed/>
    <w:rsid w:val="005D6111"/>
    <w:rPr>
      <w:sz w:val="16"/>
      <w:szCs w:val="16"/>
    </w:rPr>
  </w:style>
  <w:style w:type="paragraph" w:styleId="Commentaire">
    <w:name w:val="annotation text"/>
    <w:basedOn w:val="Normal"/>
    <w:link w:val="CommentaireCar"/>
    <w:uiPriority w:val="99"/>
    <w:unhideWhenUsed/>
    <w:rsid w:val="005D6111"/>
    <w:rPr>
      <w:sz w:val="20"/>
      <w:szCs w:val="20"/>
    </w:rPr>
  </w:style>
  <w:style w:type="character" w:customStyle="1" w:styleId="CommentaireCar">
    <w:name w:val="Commentaire Car"/>
    <w:basedOn w:val="Policepardfaut"/>
    <w:link w:val="Commentaire"/>
    <w:uiPriority w:val="99"/>
    <w:rsid w:val="005D6111"/>
    <w:rPr>
      <w:sz w:val="20"/>
      <w:szCs w:val="20"/>
    </w:rPr>
  </w:style>
  <w:style w:type="paragraph" w:styleId="Objetducommentaire">
    <w:name w:val="annotation subject"/>
    <w:basedOn w:val="Commentaire"/>
    <w:next w:val="Commentaire"/>
    <w:link w:val="ObjetducommentaireCar"/>
    <w:uiPriority w:val="99"/>
    <w:semiHidden/>
    <w:unhideWhenUsed/>
    <w:rsid w:val="005D6111"/>
    <w:rPr>
      <w:b/>
      <w:bCs/>
    </w:rPr>
  </w:style>
  <w:style w:type="character" w:customStyle="1" w:styleId="ObjetducommentaireCar">
    <w:name w:val="Objet du commentaire Car"/>
    <w:basedOn w:val="CommentaireCar"/>
    <w:link w:val="Objetducommentaire"/>
    <w:uiPriority w:val="99"/>
    <w:semiHidden/>
    <w:rsid w:val="005D6111"/>
    <w:rPr>
      <w:b/>
      <w:bCs/>
      <w:sz w:val="20"/>
      <w:szCs w:val="20"/>
    </w:rPr>
  </w:style>
  <w:style w:type="paragraph" w:styleId="Rvision">
    <w:name w:val="Revision"/>
    <w:hidden/>
    <w:uiPriority w:val="99"/>
    <w:semiHidden/>
    <w:rsid w:val="00DD4EC0"/>
  </w:style>
  <w:style w:type="paragraph" w:styleId="Notedebasdepage">
    <w:name w:val="footnote text"/>
    <w:basedOn w:val="Normal"/>
    <w:link w:val="NotedebasdepageCar"/>
    <w:uiPriority w:val="99"/>
    <w:semiHidden/>
    <w:unhideWhenUsed/>
    <w:rsid w:val="00ED1F23"/>
    <w:rPr>
      <w:sz w:val="20"/>
      <w:szCs w:val="20"/>
    </w:rPr>
  </w:style>
  <w:style w:type="character" w:customStyle="1" w:styleId="NotedebasdepageCar">
    <w:name w:val="Note de bas de page Car"/>
    <w:basedOn w:val="Policepardfaut"/>
    <w:link w:val="Notedebasdepage"/>
    <w:uiPriority w:val="99"/>
    <w:semiHidden/>
    <w:rsid w:val="00ED1F23"/>
    <w:rPr>
      <w:sz w:val="20"/>
      <w:szCs w:val="20"/>
    </w:rPr>
  </w:style>
  <w:style w:type="character" w:styleId="Appelnotedebasdep">
    <w:name w:val="footnote reference"/>
    <w:basedOn w:val="Policepardfaut"/>
    <w:uiPriority w:val="99"/>
    <w:semiHidden/>
    <w:unhideWhenUsed/>
    <w:rsid w:val="00ED1F23"/>
    <w:rPr>
      <w:vertAlign w:val="superscript"/>
    </w:rPr>
  </w:style>
  <w:style w:type="character" w:styleId="Mention">
    <w:name w:val="Mention"/>
    <w:basedOn w:val="Policepardfaut"/>
    <w:uiPriority w:val="99"/>
    <w:unhideWhenUsed/>
    <w:rsid w:val="004F5321"/>
    <w:rPr>
      <w:color w:val="2B579A"/>
      <w:shd w:val="clear" w:color="auto" w:fill="E1DFDD"/>
    </w:rPr>
  </w:style>
  <w:style w:type="numbering" w:customStyle="1" w:styleId="Huidigelijst11">
    <w:name w:val="Huidige lijst11"/>
    <w:uiPriority w:val="99"/>
    <w:rsid w:val="00647374"/>
    <w:pPr>
      <w:numPr>
        <w:numId w:val="17"/>
      </w:numPr>
    </w:pPr>
  </w:style>
  <w:style w:type="numbering" w:customStyle="1" w:styleId="Huidigelijst12">
    <w:name w:val="Huidige lijst12"/>
    <w:uiPriority w:val="99"/>
    <w:rsid w:val="00647374"/>
    <w:pPr>
      <w:numPr>
        <w:numId w:val="19"/>
      </w:numPr>
    </w:pPr>
  </w:style>
  <w:style w:type="character" w:styleId="Mentionnonrsolue">
    <w:name w:val="Unresolved Mention"/>
    <w:basedOn w:val="Policepardfaut"/>
    <w:uiPriority w:val="99"/>
    <w:semiHidden/>
    <w:unhideWhenUsed/>
    <w:rsid w:val="00F57B9A"/>
    <w:rPr>
      <w:color w:val="605E5C"/>
      <w:shd w:val="clear" w:color="auto" w:fill="E1DFDD"/>
    </w:rPr>
  </w:style>
  <w:style w:type="numbering" w:customStyle="1" w:styleId="Huidigelijst13">
    <w:name w:val="Huidige lijst13"/>
    <w:uiPriority w:val="99"/>
    <w:rsid w:val="00415128"/>
    <w:pPr>
      <w:numPr>
        <w:numId w:val="20"/>
      </w:numPr>
    </w:pPr>
  </w:style>
  <w:style w:type="character" w:styleId="Lienhypertextesuivivisit">
    <w:name w:val="FollowedHyperlink"/>
    <w:basedOn w:val="Policepardfaut"/>
    <w:uiPriority w:val="99"/>
    <w:semiHidden/>
    <w:unhideWhenUsed/>
    <w:rsid w:val="00C600BF"/>
    <w:rPr>
      <w:color w:val="954F72" w:themeColor="followedHyperlink"/>
      <w:u w:val="single"/>
    </w:rPr>
  </w:style>
  <w:style w:type="table" w:styleId="Grilledutableau">
    <w:name w:val="Table Grid"/>
    <w:basedOn w:val="TableauNormal"/>
    <w:uiPriority w:val="39"/>
    <w:rsid w:val="00F56753"/>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i.org/10.26356/EC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787/9789264239012-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erpretatie regelgeving" ma:contentTypeID="0x01010051ABF333E8625D46924FA3CA21DE3533008553320A10E16049A24B1DBE2B642178" ma:contentTypeVersion="32" ma:contentTypeDescription="" ma:contentTypeScope="" ma:versionID="15974d8f18963d2b4b02970729fd084e">
  <xsd:schema xmlns:xsd="http://www.w3.org/2001/XMLSchema" xmlns:xs="http://www.w3.org/2001/XMLSchema" xmlns:p="http://schemas.microsoft.com/office/2006/metadata/properties" xmlns:ns2="b646ba2c-5d6b-4dbe-848d-ffe408b4b53d" xmlns:ns3="182ee2af-db41-473b-9a59-eb77e7161e36" targetNamespace="http://schemas.microsoft.com/office/2006/metadata/properties" ma:root="true" ma:fieldsID="8332990140f6451525f5866b98cf54b9" ns2:_="" ns3:_="">
    <xsd:import namespace="b646ba2c-5d6b-4dbe-848d-ffe408b4b53d"/>
    <xsd:import namespace="182ee2af-db41-473b-9a59-eb77e7161e36"/>
    <xsd:element name="properties">
      <xsd:complexType>
        <xsd:sequence>
          <xsd:element name="documentManagement">
            <xsd:complexType>
              <xsd:all>
                <xsd:element ref="ns2:TaxCatchAll" minOccurs="0"/>
                <xsd:element ref="ns3:MediaServiceMetadata" minOccurs="0"/>
                <xsd:element ref="ns3:MediaServiceFastMetadata" minOccurs="0"/>
                <xsd:element ref="ns2:l8bd7a42eb4a4c1d976c6126a9c80ba7" minOccurs="0"/>
                <xsd:element ref="ns2:TaxCatchAllLabel" minOccurs="0"/>
                <xsd:element ref="ns2:ha29f77b6ede442c9c15a84236a26391" minOccurs="0"/>
                <xsd:element ref="ns2:Jaartal" minOccurs="0"/>
                <xsd:element ref="ns3:c94d1ad579024789bfaa0ba1e9745ffc"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643baa4-b07c-4631-856b-4054c242754c}" ma:internalName="TaxCatchAll" ma:readOnly="false"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element name="l8bd7a42eb4a4c1d976c6126a9c80ba7" ma:index="13" nillable="true" ma:taxonomy="true" ma:internalName="l8bd7a42eb4a4c1d976c6126a9c80ba7" ma:taxonomyFieldName="TypeDocumenten" ma:displayName="Type Documenten" ma:readOnly="false" ma:fieldId="{58bd7a42-eb4a-4c1d-976c-6126a9c80ba7}" ma:sspId="49ca8161-7180-459b-a0ef-1a71cf6ffea5" ma:termSetId="be7f55ae-5763-442f-9ccf-b9427a35b85f"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2643baa4-b07c-4631-856b-4054c242754c}" ma:internalName="TaxCatchAllLabel" ma:readOnly="true" ma:showField="CatchAllDataLabel" ma:web="b646ba2c-5d6b-4dbe-848d-ffe408b4b53d">
      <xsd:complexType>
        <xsd:complexContent>
          <xsd:extension base="dms:MultiChoiceLookup">
            <xsd:sequence>
              <xsd:element name="Value" type="dms:Lookup" maxOccurs="unbounded" minOccurs="0" nillable="true"/>
            </xsd:sequence>
          </xsd:extension>
        </xsd:complexContent>
      </xsd:complexType>
    </xsd:element>
    <xsd:element name="ha29f77b6ede442c9c15a84236a26391" ma:index="15" nillable="true" ma:taxonomy="true" ma:internalName="ha29f77b6ede442c9c15a84236a26391" ma:taxonomyFieldName="RegelgevingsThema" ma:displayName="(Regelgevings)thema" ma:readOnly="false" ma:fieldId="{1a29f77b-6ede-442c-9c15-a84236a26391}" ma:sspId="49ca8161-7180-459b-a0ef-1a71cf6ffea5" ma:termSetId="ebc258c7-e596-4c0b-bfe1-73015e77ed89" ma:anchorId="00000000-0000-0000-0000-000000000000" ma:open="false" ma:isKeyword="false">
      <xsd:complexType>
        <xsd:sequence>
          <xsd:element ref="pc:Terms" minOccurs="0" maxOccurs="1"/>
        </xsd:sequence>
      </xsd:complexType>
    </xsd:element>
    <xsd:element name="Jaartal" ma:index="17" nillable="true" ma:displayName="Jaartal" ma:format="Dropdown" ma:internalName="Jaartal" ma:readOnly="false">
      <xsd:simpleType>
        <xsd:restriction base="dms:Choice">
          <xsd:enumeration value="2015"/>
          <xsd:enumeration value="2016"/>
          <xsd:enumeration value="2017"/>
          <xsd:enumeration value="2018"/>
          <xsd:enumeration value="2019"/>
          <xsd:enumeration value="2020"/>
          <xsd:enumeration value="2021"/>
          <xsd:enumeration value="2022"/>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2ee2af-db41-473b-9a59-eb77e7161e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94d1ad579024789bfaa0ba1e9745ffc" ma:index="18" nillable="true" ma:taxonomy="true" ma:internalName="c94d1ad579024789bfaa0ba1e9745ffc" ma:taxonomyFieldName="Actor" ma:displayName="Actor" ma:readOnly="false" ma:fieldId="{c94d1ad5-7902-4789-bfaa-0ba1e9745ffc}" ma:sspId="49ca8161-7180-459b-a0ef-1a71cf6ffea5" ma:termSetId="45e0a011-2826-4ddb-bdd6-5a2b9d6a108e" ma:anchorId="00000000-0000-0000-0000-000000000000" ma:open="fals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a29f77b6ede442c9c15a84236a26391 xmlns="b646ba2c-5d6b-4dbe-848d-ffe408b4b53d">
      <Terms xmlns="http://schemas.microsoft.com/office/infopath/2007/PartnerControls"/>
    </ha29f77b6ede442c9c15a84236a26391>
    <l8bd7a42eb4a4c1d976c6126a9c80ba7 xmlns="b646ba2c-5d6b-4dbe-848d-ffe408b4b53d">
      <Terms xmlns="http://schemas.microsoft.com/office/infopath/2007/PartnerControls"/>
    </l8bd7a42eb4a4c1d976c6126a9c80ba7>
    <Jaartal xmlns="b646ba2c-5d6b-4dbe-848d-ffe408b4b53d" xsi:nil="true"/>
    <c94d1ad579024789bfaa0ba1e9745ffc xmlns="182ee2af-db41-473b-9a59-eb77e7161e36">
      <Terms xmlns="http://schemas.microsoft.com/office/infopath/2007/PartnerControls"/>
    </c94d1ad579024789bfaa0ba1e9745ffc>
    <TaxCatchAll xmlns="b646ba2c-5d6b-4dbe-848d-ffe408b4b53d" xsi:nil="true"/>
    <lcf76f155ced4ddcb4097134ff3c332f xmlns="182ee2af-db41-473b-9a59-eb77e7161e36">
      <Terms xmlns="http://schemas.microsoft.com/office/infopath/2007/PartnerControls"/>
    </lcf76f155ced4ddcb4097134ff3c332f>
    <SharedWithUsers xmlns="b646ba2c-5d6b-4dbe-848d-ffe408b4b53d">
      <UserInfo>
        <DisplayName>De Bock Koen</DisplayName>
        <AccountId>84</AccountId>
        <AccountType/>
      </UserInfo>
      <UserInfo>
        <DisplayName>De Schryver Ellen</DisplayName>
        <AccountId>198</AccountId>
        <AccountType/>
      </UserInfo>
      <UserInfo>
        <DisplayName>Wauters Emmeline</DisplayName>
        <AccountId>53</AccountId>
        <AccountType/>
      </UserInfo>
      <UserInfo>
        <DisplayName>Vermeir Diederik</DisplayName>
        <AccountId>96</AccountId>
        <AccountType/>
      </UserInfo>
      <UserInfo>
        <DisplayName>Van Damme Benediekt</DisplayName>
        <AccountId>56</AccountId>
        <AccountType/>
      </UserInfo>
      <UserInfo>
        <DisplayName>De Broeck Fabienne</DisplayName>
        <AccountId>99</AccountId>
        <AccountType/>
      </UserInfo>
    </SharedWithUsers>
  </documentManagement>
</p:properties>
</file>

<file path=customXml/itemProps1.xml><?xml version="1.0" encoding="utf-8"?>
<ds:datastoreItem xmlns:ds="http://schemas.openxmlformats.org/officeDocument/2006/customXml" ds:itemID="{BF9EFDFE-6508-2C46-9355-0F570352993B}">
  <ds:schemaRefs>
    <ds:schemaRef ds:uri="http://schemas.openxmlformats.org/officeDocument/2006/bibliography"/>
  </ds:schemaRefs>
</ds:datastoreItem>
</file>

<file path=customXml/itemProps2.xml><?xml version="1.0" encoding="utf-8"?>
<ds:datastoreItem xmlns:ds="http://schemas.openxmlformats.org/officeDocument/2006/customXml" ds:itemID="{BC6B403A-AD9D-425C-8758-66CA5A1797FA}">
  <ds:schemaRefs>
    <ds:schemaRef ds:uri="http://schemas.microsoft.com/sharepoint/v3/contenttype/forms"/>
  </ds:schemaRefs>
</ds:datastoreItem>
</file>

<file path=customXml/itemProps3.xml><?xml version="1.0" encoding="utf-8"?>
<ds:datastoreItem xmlns:ds="http://schemas.openxmlformats.org/officeDocument/2006/customXml" ds:itemID="{5531B9DE-8024-4466-BBC5-8434D9759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6ba2c-5d6b-4dbe-848d-ffe408b4b53d"/>
    <ds:schemaRef ds:uri="182ee2af-db41-473b-9a59-eb77e7161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8E541-3EDF-439E-BB7E-2C2797567495}">
  <ds:schemaRefs>
    <ds:schemaRef ds:uri="http://schemas.microsoft.com/office/2006/metadata/properties"/>
    <ds:schemaRef ds:uri="http://schemas.microsoft.com/office/infopath/2007/PartnerControls"/>
    <ds:schemaRef ds:uri="b646ba2c-5d6b-4dbe-848d-ffe408b4b53d"/>
    <ds:schemaRef ds:uri="182ee2af-db41-473b-9a59-eb77e7161e3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10444</Words>
  <Characters>57446</Characters>
  <Application>Microsoft Office Word</Application>
  <DocSecurity>0</DocSecurity>
  <Lines>478</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Verschave</dc:creator>
  <cp:keywords/>
  <dc:description/>
  <cp:lastModifiedBy>Auteur</cp:lastModifiedBy>
  <cp:revision>13</cp:revision>
  <dcterms:created xsi:type="dcterms:W3CDTF">2023-12-13T18:21:00Z</dcterms:created>
  <dcterms:modified xsi:type="dcterms:W3CDTF">2025-12-01T15:31:00Z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0x01010051ABF333E8625D46924FA3CA21DE3533008553320A10E16049A24B1DBE2B642178</vt:lpwstr>
  </property>
  <property fmtid="{D5CDD505-2E9C-101B-9397-08002B2CF9AE}" pid="3" name="TypeDocumenten">
    <vt:lpwstr/>
  </property>
  <property fmtid="{D5CDD505-2E9C-101B-9397-08002B2CF9AE}" pid="4" name="Actor">
    <vt:lpwstr/>
  </property>
  <property fmtid="{D5CDD505-2E9C-101B-9397-08002B2CF9AE}" pid="5" name="RegelgevingsThema">
    <vt:lpwstr/>
  </property>
  <property fmtid="{D5CDD505-2E9C-101B-9397-08002B2CF9AE}" pid="6" name="MediaServiceImageTags">
    <vt:lpwstr/>
  </property>
</Properties>
</file>