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0FE60" w14:textId="77777777" w:rsidR="008F5CCF" w:rsidRDefault="00A81118">
      <w:pPr>
        <w:spacing w:after="7" w:line="259" w:lineRule="auto"/>
        <w:ind w:left="0" w:right="3" w:firstLine="0"/>
        <w:jc w:val="center"/>
      </w:pPr>
      <w:r>
        <w:rPr>
          <w:b/>
          <w:sz w:val="40"/>
        </w:rPr>
        <w:t>R</w:t>
      </w:r>
      <w:r>
        <w:rPr>
          <w:b/>
          <w:sz w:val="32"/>
        </w:rPr>
        <w:t>ÈGLEMENT</w:t>
      </w:r>
      <w:r>
        <w:rPr>
          <w:b/>
          <w:sz w:val="40"/>
        </w:rPr>
        <w:t xml:space="preserve"> </w:t>
      </w:r>
    </w:p>
    <w:p w14:paraId="1E6B9E97" w14:textId="0FD8D78A" w:rsidR="008F5CCF" w:rsidRDefault="00A81118">
      <w:pPr>
        <w:pStyle w:val="Titre1"/>
      </w:pPr>
      <w:r>
        <w:t>R&amp;D</w:t>
      </w:r>
      <w:r>
        <w:rPr>
          <w:sz w:val="32"/>
        </w:rPr>
        <w:t xml:space="preserve"> </w:t>
      </w:r>
      <w:r>
        <w:t>P</w:t>
      </w:r>
      <w:r>
        <w:rPr>
          <w:sz w:val="32"/>
        </w:rPr>
        <w:t xml:space="preserve">ROJECTS </w:t>
      </w:r>
      <w:r>
        <w:t>(</w:t>
      </w:r>
      <w:r w:rsidR="000723F6" w:rsidRPr="000723F6">
        <w:rPr>
          <w:sz w:val="32"/>
        </w:rPr>
        <w:fldChar w:fldCharType="begin"/>
      </w:r>
      <w:r w:rsidR="000723F6" w:rsidRPr="000723F6">
        <w:rPr>
          <w:sz w:val="32"/>
        </w:rPr>
        <w:instrText xml:space="preserve"> date \@ "YYYY" </w:instrText>
      </w:r>
      <w:r w:rsidR="000723F6" w:rsidRPr="000723F6">
        <w:rPr>
          <w:sz w:val="32"/>
        </w:rPr>
        <w:fldChar w:fldCharType="separate"/>
      </w:r>
      <w:r w:rsidR="0047541D">
        <w:rPr>
          <w:noProof/>
          <w:sz w:val="32"/>
        </w:rPr>
        <w:t>2025</w:t>
      </w:r>
      <w:r w:rsidR="000723F6" w:rsidRPr="000723F6">
        <w:rPr>
          <w:sz w:val="32"/>
        </w:rPr>
        <w:fldChar w:fldCharType="end"/>
      </w:r>
      <w:r>
        <w:t xml:space="preserve">) </w:t>
      </w:r>
    </w:p>
    <w:p w14:paraId="21AFC81F" w14:textId="77777777" w:rsidR="008F5CCF" w:rsidRDefault="00A81118">
      <w:pPr>
        <w:spacing w:after="158" w:line="259" w:lineRule="auto"/>
        <w:ind w:left="0" w:right="0" w:firstLine="0"/>
        <w:jc w:val="left"/>
      </w:pPr>
      <w:r>
        <w:rPr>
          <w:rFonts w:ascii="Calibri" w:eastAsia="Calibri" w:hAnsi="Calibri" w:cs="Calibri"/>
          <w:sz w:val="22"/>
        </w:rPr>
        <w:t xml:space="preserve"> </w:t>
      </w:r>
    </w:p>
    <w:p w14:paraId="6F9D08C1" w14:textId="77777777" w:rsidR="008F5CCF" w:rsidRDefault="00A81118">
      <w:pPr>
        <w:spacing w:after="213" w:line="259" w:lineRule="auto"/>
        <w:ind w:left="0" w:right="0" w:firstLine="0"/>
        <w:jc w:val="left"/>
      </w:pPr>
      <w:r>
        <w:rPr>
          <w:rFonts w:ascii="Calibri" w:eastAsia="Calibri" w:hAnsi="Calibri" w:cs="Calibri"/>
          <w:sz w:val="22"/>
        </w:rPr>
        <w:t xml:space="preserve"> </w:t>
      </w:r>
    </w:p>
    <w:p w14:paraId="7665B67E" w14:textId="77777777" w:rsidR="008F5CCF" w:rsidRDefault="00A81118">
      <w:pPr>
        <w:pStyle w:val="Titre2"/>
        <w:ind w:left="-5"/>
      </w:pPr>
      <w:r>
        <w:t xml:space="preserve">Objectifs et périmètre du programme </w:t>
      </w:r>
    </w:p>
    <w:p w14:paraId="3716ECA5" w14:textId="77777777" w:rsidR="008F5CCF" w:rsidRDefault="00A81118">
      <w:pPr>
        <w:spacing w:after="101" w:line="259" w:lineRule="auto"/>
        <w:ind w:left="0" w:right="0" w:firstLine="0"/>
        <w:jc w:val="left"/>
      </w:pPr>
      <w:r>
        <w:rPr>
          <w:b/>
        </w:rPr>
        <w:t xml:space="preserve"> </w:t>
      </w:r>
    </w:p>
    <w:p w14:paraId="05814CF0" w14:textId="77777777" w:rsidR="008F5CCF" w:rsidRDefault="00A81118">
      <w:pPr>
        <w:ind w:left="-15" w:right="0" w:firstLine="0"/>
      </w:pPr>
      <w:r>
        <w:t xml:space="preserve">Les financements « R&amp;D projects » soutiennent les projets qui visent, à terme, à développer ou mettre en place des produits, procédés ou services innovants. Ceci recouvre les projets de recherche industrielle, développement expérimental et d’innovation de procédé ou organisationnelle. </w:t>
      </w:r>
    </w:p>
    <w:p w14:paraId="4C71423E" w14:textId="77777777" w:rsidR="008F5CCF" w:rsidRDefault="00A81118">
      <w:pPr>
        <w:spacing w:after="0" w:line="259" w:lineRule="auto"/>
        <w:ind w:left="0" w:right="0" w:firstLine="0"/>
        <w:jc w:val="left"/>
      </w:pPr>
      <w:r>
        <w:t xml:space="preserve"> </w:t>
      </w:r>
    </w:p>
    <w:p w14:paraId="30072110" w14:textId="77777777" w:rsidR="008F5CCF" w:rsidRDefault="00A81118">
      <w:pPr>
        <w:spacing w:after="109"/>
        <w:ind w:left="-15" w:right="0" w:firstLine="0"/>
      </w:pPr>
      <w:r>
        <w:t xml:space="preserve">Le classement de votre projet dans une de ces catégories se fait selon des facteurs techniques (niveaux TRL, système de mesure de la maturité technologique d’une innovation ou technologie) et commerciaux (niveaux CRL, leur équivalent pour la maturité commerciale). Ces critères sont explicités pour chaque catégorie ci-dessous. </w:t>
      </w:r>
    </w:p>
    <w:p w14:paraId="1C8C22CE" w14:textId="77777777" w:rsidR="008F5CCF" w:rsidRDefault="00A81118">
      <w:pPr>
        <w:spacing w:after="0" w:line="259" w:lineRule="auto"/>
        <w:ind w:left="0" w:right="0" w:firstLine="0"/>
        <w:jc w:val="left"/>
      </w:pPr>
      <w:r>
        <w:rPr>
          <w:rFonts w:ascii="Calibri" w:eastAsia="Calibri" w:hAnsi="Calibri" w:cs="Calibri"/>
          <w:color w:val="213B87"/>
          <w:sz w:val="32"/>
        </w:rPr>
        <w:t xml:space="preserve"> </w:t>
      </w:r>
    </w:p>
    <w:p w14:paraId="471FF0F5" w14:textId="77777777" w:rsidR="008F5CCF" w:rsidRDefault="00A81118">
      <w:pPr>
        <w:spacing w:line="250" w:lineRule="auto"/>
        <w:ind w:left="0" w:right="0" w:firstLine="0"/>
        <w:jc w:val="left"/>
      </w:pPr>
      <w:r>
        <w:rPr>
          <w:b/>
        </w:rPr>
        <w:t xml:space="preserve">Recherche industrielle (TRL 1 à 4, CRL 1 à 5) </w:t>
      </w:r>
    </w:p>
    <w:p w14:paraId="2F6BC2B8" w14:textId="77777777" w:rsidR="008F5CCF" w:rsidRDefault="00A81118">
      <w:pPr>
        <w:spacing w:after="0" w:line="259" w:lineRule="auto"/>
        <w:ind w:left="0" w:right="0" w:firstLine="0"/>
        <w:jc w:val="left"/>
      </w:pPr>
      <w:r>
        <w:rPr>
          <w:b/>
        </w:rPr>
        <w:t xml:space="preserve"> </w:t>
      </w:r>
    </w:p>
    <w:p w14:paraId="5419CCE8" w14:textId="77777777" w:rsidR="008F5CCF" w:rsidRDefault="00A81118">
      <w:pPr>
        <w:spacing w:after="4" w:line="250" w:lineRule="auto"/>
        <w:ind w:left="-5" w:right="2704" w:hanging="10"/>
        <w:jc w:val="left"/>
      </w:pPr>
      <w:r>
        <w:rPr>
          <w:i/>
        </w:rPr>
        <w:t xml:space="preserve">Quels projets entrent en ligne de compte pour un financement ? </w:t>
      </w:r>
    </w:p>
    <w:p w14:paraId="7CD6C5BB" w14:textId="77777777" w:rsidR="008F5CCF" w:rsidRDefault="00A81118">
      <w:pPr>
        <w:spacing w:after="0" w:line="259" w:lineRule="auto"/>
        <w:ind w:left="0" w:right="0" w:firstLine="0"/>
        <w:jc w:val="left"/>
      </w:pPr>
      <w:r>
        <w:rPr>
          <w:i/>
          <w:color w:val="213B87"/>
        </w:rPr>
        <w:t xml:space="preserve"> </w:t>
      </w:r>
    </w:p>
    <w:p w14:paraId="566C94E3" w14:textId="77777777" w:rsidR="008F5CCF" w:rsidRDefault="00A81118">
      <w:pPr>
        <w:numPr>
          <w:ilvl w:val="0"/>
          <w:numId w:val="1"/>
        </w:numPr>
        <w:ind w:right="0" w:hanging="360"/>
      </w:pPr>
      <w:r>
        <w:t xml:space="preserve">Un </w:t>
      </w:r>
      <w:r>
        <w:rPr>
          <w:b/>
        </w:rPr>
        <w:t xml:space="preserve">but industriel ou commercial </w:t>
      </w:r>
      <w:r>
        <w:t xml:space="preserve">a été identifié mais des </w:t>
      </w:r>
      <w:r>
        <w:rPr>
          <w:b/>
        </w:rPr>
        <w:t xml:space="preserve">connaissances scientifiques </w:t>
      </w:r>
      <w:r>
        <w:t xml:space="preserve">nécessaires à sa réalisation doivent être </w:t>
      </w:r>
      <w:r>
        <w:rPr>
          <w:b/>
        </w:rPr>
        <w:t>générées</w:t>
      </w:r>
      <w:r>
        <w:t>.</w:t>
      </w:r>
      <w:r>
        <w:rPr>
          <w:b/>
        </w:rPr>
        <w:t xml:space="preserve"> </w:t>
      </w:r>
    </w:p>
    <w:p w14:paraId="1E98AF58" w14:textId="77777777" w:rsidR="008F5CCF" w:rsidRDefault="00A81118">
      <w:pPr>
        <w:numPr>
          <w:ilvl w:val="0"/>
          <w:numId w:val="1"/>
        </w:numPr>
        <w:spacing w:after="4" w:line="254" w:lineRule="auto"/>
        <w:ind w:right="0" w:hanging="360"/>
      </w:pPr>
      <w:r>
        <w:t xml:space="preserve">Certaines recherches académiques ou industrielles peuvent déjà exister mais sont </w:t>
      </w:r>
      <w:r>
        <w:rPr>
          <w:b/>
        </w:rPr>
        <w:t xml:space="preserve">insuffisantes pour pouvoir lancer le développement </w:t>
      </w:r>
      <w:r>
        <w:t xml:space="preserve">d’un nouveau produit, service ou procédé. </w:t>
      </w:r>
    </w:p>
    <w:p w14:paraId="628B8581" w14:textId="77777777" w:rsidR="008F5CCF" w:rsidRDefault="00A81118">
      <w:pPr>
        <w:numPr>
          <w:ilvl w:val="0"/>
          <w:numId w:val="1"/>
        </w:numPr>
        <w:ind w:right="0" w:hanging="360"/>
      </w:pPr>
      <w:r>
        <w:t>L’état de l’art a été examiné (</w:t>
      </w:r>
      <w:r>
        <w:rPr>
          <w:b/>
        </w:rPr>
        <w:t>revue de la littérature préliminaire</w:t>
      </w:r>
      <w:r>
        <w:t xml:space="preserve">), un programme </w:t>
      </w:r>
      <w:r>
        <w:rPr>
          <w:b/>
        </w:rPr>
        <w:t xml:space="preserve">de recherche </w:t>
      </w:r>
      <w:r>
        <w:t>a été mis en place, et les jalons principaux en ont été fixés.</w:t>
      </w:r>
      <w:r>
        <w:rPr>
          <w:b/>
        </w:rPr>
        <w:t xml:space="preserve"> </w:t>
      </w:r>
    </w:p>
    <w:p w14:paraId="1D8D8B18" w14:textId="77777777" w:rsidR="008F5CCF" w:rsidRDefault="00A81118">
      <w:pPr>
        <w:numPr>
          <w:ilvl w:val="0"/>
          <w:numId w:val="1"/>
        </w:numPr>
        <w:spacing w:after="4" w:line="254" w:lineRule="auto"/>
        <w:ind w:right="0" w:hanging="360"/>
      </w:pPr>
      <w:r>
        <w:t xml:space="preserve">Au terme du projet, les </w:t>
      </w:r>
      <w:r>
        <w:rPr>
          <w:b/>
        </w:rPr>
        <w:t xml:space="preserve">nouvelles connaissances </w:t>
      </w:r>
      <w:r>
        <w:t xml:space="preserve">nécessaires au développement d’un nouveau produit, procédé ou service auront été générées. </w:t>
      </w:r>
      <w:r>
        <w:rPr>
          <w:b/>
        </w:rPr>
        <w:t>L’état de l’art aura été dépassé</w:t>
      </w:r>
      <w:r>
        <w:t xml:space="preserve">. </w:t>
      </w:r>
      <w:r>
        <w:rPr>
          <w:b/>
        </w:rPr>
        <w:t xml:space="preserve">Un POC ou un prototype en environnement de laboratoire </w:t>
      </w:r>
      <w:r>
        <w:t xml:space="preserve">pourra être produit. </w:t>
      </w:r>
    </w:p>
    <w:p w14:paraId="5A1DDA67" w14:textId="77777777" w:rsidR="008F5CCF" w:rsidRDefault="00A81118">
      <w:pPr>
        <w:spacing w:after="0" w:line="259" w:lineRule="auto"/>
        <w:ind w:left="0" w:right="0" w:firstLine="0"/>
        <w:jc w:val="left"/>
      </w:pPr>
      <w:r>
        <w:t xml:space="preserve"> </w:t>
      </w:r>
    </w:p>
    <w:p w14:paraId="46509495" w14:textId="77777777" w:rsidR="008F5CCF" w:rsidRDefault="00A81118">
      <w:pPr>
        <w:spacing w:after="4" w:line="250" w:lineRule="auto"/>
        <w:ind w:left="-5" w:right="2704" w:hanging="10"/>
        <w:jc w:val="left"/>
      </w:pPr>
      <w:r>
        <w:rPr>
          <w:i/>
        </w:rPr>
        <w:t xml:space="preserve">Comment les projets sont-ils financés ? </w:t>
      </w:r>
    </w:p>
    <w:p w14:paraId="1C60F8F0" w14:textId="77777777" w:rsidR="008F5CCF" w:rsidRDefault="00A81118">
      <w:pPr>
        <w:spacing w:after="0" w:line="259" w:lineRule="auto"/>
        <w:ind w:left="0" w:right="0" w:firstLine="0"/>
        <w:jc w:val="left"/>
      </w:pPr>
      <w:r>
        <w:rPr>
          <w:i/>
        </w:rPr>
        <w:t xml:space="preserve"> </w:t>
      </w:r>
    </w:p>
    <w:p w14:paraId="4F3ADCBD" w14:textId="77777777" w:rsidR="008F5CCF" w:rsidRDefault="00A81118">
      <w:pPr>
        <w:ind w:left="-15" w:right="0" w:firstLine="0"/>
      </w:pPr>
      <w:r>
        <w:t xml:space="preserve">Les projets sont financés sous la forme de subsides. </w:t>
      </w:r>
    </w:p>
    <w:p w14:paraId="2033186D" w14:textId="77777777" w:rsidR="008F5CCF" w:rsidRDefault="00A81118">
      <w:pPr>
        <w:spacing w:after="0" w:line="259" w:lineRule="auto"/>
        <w:ind w:left="0" w:right="0" w:firstLine="0"/>
        <w:jc w:val="left"/>
      </w:pPr>
      <w:r>
        <w:t xml:space="preserve"> </w:t>
      </w:r>
    </w:p>
    <w:tbl>
      <w:tblPr>
        <w:tblStyle w:val="TableGrid"/>
        <w:tblW w:w="6800" w:type="dxa"/>
        <w:tblInd w:w="5" w:type="dxa"/>
        <w:tblCellMar>
          <w:top w:w="12" w:type="dxa"/>
          <w:left w:w="110" w:type="dxa"/>
          <w:right w:w="115" w:type="dxa"/>
        </w:tblCellMar>
        <w:tblLook w:val="04A0" w:firstRow="1" w:lastRow="0" w:firstColumn="1" w:lastColumn="0" w:noHBand="0" w:noVBand="1"/>
      </w:tblPr>
      <w:tblGrid>
        <w:gridCol w:w="3020"/>
        <w:gridCol w:w="3780"/>
      </w:tblGrid>
      <w:tr w:rsidR="008F5CCF" w14:paraId="108465E7" w14:textId="77777777">
        <w:trPr>
          <w:trHeight w:val="367"/>
        </w:trPr>
        <w:tc>
          <w:tcPr>
            <w:tcW w:w="3020" w:type="dxa"/>
            <w:tcBorders>
              <w:top w:val="single" w:sz="4" w:space="0" w:color="000000"/>
              <w:left w:val="single" w:sz="4" w:space="0" w:color="000000"/>
              <w:bottom w:val="single" w:sz="4" w:space="0" w:color="000000"/>
              <w:right w:val="single" w:sz="4" w:space="0" w:color="000000"/>
            </w:tcBorders>
          </w:tcPr>
          <w:p w14:paraId="633CD84D" w14:textId="77777777" w:rsidR="008F5CCF" w:rsidRDefault="00A81118">
            <w:pPr>
              <w:spacing w:after="0" w:line="259" w:lineRule="auto"/>
              <w:ind w:left="0" w:right="0" w:firstLine="0"/>
              <w:jc w:val="left"/>
            </w:pPr>
            <w:r>
              <w:rPr>
                <w:b/>
              </w:rPr>
              <w:t xml:space="preserve">Taille de l’entreprise </w:t>
            </w:r>
          </w:p>
        </w:tc>
        <w:tc>
          <w:tcPr>
            <w:tcW w:w="3780" w:type="dxa"/>
            <w:tcBorders>
              <w:top w:val="single" w:sz="4" w:space="0" w:color="000000"/>
              <w:left w:val="single" w:sz="4" w:space="0" w:color="000000"/>
              <w:bottom w:val="single" w:sz="4" w:space="0" w:color="000000"/>
              <w:right w:val="single" w:sz="4" w:space="0" w:color="000000"/>
            </w:tcBorders>
          </w:tcPr>
          <w:p w14:paraId="3042DF7C" w14:textId="77777777" w:rsidR="008F5CCF" w:rsidRDefault="00A81118">
            <w:pPr>
              <w:spacing w:after="0" w:line="259" w:lineRule="auto"/>
              <w:ind w:left="0" w:right="0" w:firstLine="0"/>
              <w:jc w:val="left"/>
            </w:pPr>
            <w:r>
              <w:rPr>
                <w:b/>
              </w:rPr>
              <w:t xml:space="preserve">Taux d’intervention projet individuel </w:t>
            </w:r>
          </w:p>
        </w:tc>
      </w:tr>
      <w:tr w:rsidR="008F5CCF" w14:paraId="1423AC98" w14:textId="77777777">
        <w:trPr>
          <w:trHeight w:val="240"/>
        </w:trPr>
        <w:tc>
          <w:tcPr>
            <w:tcW w:w="3020" w:type="dxa"/>
            <w:tcBorders>
              <w:top w:val="single" w:sz="4" w:space="0" w:color="000000"/>
              <w:left w:val="single" w:sz="4" w:space="0" w:color="000000"/>
              <w:bottom w:val="single" w:sz="4" w:space="0" w:color="000000"/>
              <w:right w:val="single" w:sz="4" w:space="0" w:color="000000"/>
            </w:tcBorders>
          </w:tcPr>
          <w:p w14:paraId="4245F7D4" w14:textId="77777777" w:rsidR="008F5CCF" w:rsidRDefault="00A81118">
            <w:pPr>
              <w:spacing w:after="0" w:line="259" w:lineRule="auto"/>
              <w:ind w:left="0" w:right="0" w:firstLine="0"/>
              <w:jc w:val="left"/>
            </w:pPr>
            <w:r>
              <w:t xml:space="preserve">(T)PE </w:t>
            </w:r>
          </w:p>
        </w:tc>
        <w:tc>
          <w:tcPr>
            <w:tcW w:w="3780" w:type="dxa"/>
            <w:tcBorders>
              <w:top w:val="single" w:sz="4" w:space="0" w:color="000000"/>
              <w:left w:val="single" w:sz="4" w:space="0" w:color="000000"/>
              <w:bottom w:val="single" w:sz="4" w:space="0" w:color="000000"/>
              <w:right w:val="single" w:sz="4" w:space="0" w:color="000000"/>
            </w:tcBorders>
          </w:tcPr>
          <w:p w14:paraId="1141609A" w14:textId="77777777" w:rsidR="008F5CCF" w:rsidRDefault="00A81118">
            <w:pPr>
              <w:spacing w:after="0" w:line="259" w:lineRule="auto"/>
              <w:ind w:left="0" w:right="0" w:firstLine="0"/>
              <w:jc w:val="left"/>
            </w:pPr>
            <w:r>
              <w:t xml:space="preserve">70% </w:t>
            </w:r>
          </w:p>
        </w:tc>
      </w:tr>
      <w:tr w:rsidR="008F5CCF" w14:paraId="07417EB4" w14:textId="77777777">
        <w:trPr>
          <w:trHeight w:val="240"/>
        </w:trPr>
        <w:tc>
          <w:tcPr>
            <w:tcW w:w="3020" w:type="dxa"/>
            <w:tcBorders>
              <w:top w:val="single" w:sz="4" w:space="0" w:color="000000"/>
              <w:left w:val="single" w:sz="4" w:space="0" w:color="000000"/>
              <w:bottom w:val="single" w:sz="4" w:space="0" w:color="000000"/>
              <w:right w:val="single" w:sz="4" w:space="0" w:color="000000"/>
            </w:tcBorders>
          </w:tcPr>
          <w:p w14:paraId="37A102FC" w14:textId="77777777" w:rsidR="008F5CCF" w:rsidRDefault="00A81118">
            <w:pPr>
              <w:spacing w:after="0" w:line="259" w:lineRule="auto"/>
              <w:ind w:left="0" w:right="0" w:firstLine="0"/>
              <w:jc w:val="left"/>
            </w:pPr>
            <w:r>
              <w:t xml:space="preserve">ME </w:t>
            </w:r>
          </w:p>
        </w:tc>
        <w:tc>
          <w:tcPr>
            <w:tcW w:w="3780" w:type="dxa"/>
            <w:tcBorders>
              <w:top w:val="single" w:sz="4" w:space="0" w:color="000000"/>
              <w:left w:val="single" w:sz="4" w:space="0" w:color="000000"/>
              <w:bottom w:val="single" w:sz="4" w:space="0" w:color="000000"/>
              <w:right w:val="single" w:sz="4" w:space="0" w:color="000000"/>
            </w:tcBorders>
          </w:tcPr>
          <w:p w14:paraId="36FC4721" w14:textId="77777777" w:rsidR="008F5CCF" w:rsidRDefault="00A81118">
            <w:pPr>
              <w:spacing w:after="0" w:line="259" w:lineRule="auto"/>
              <w:ind w:left="0" w:right="0" w:firstLine="0"/>
              <w:jc w:val="left"/>
            </w:pPr>
            <w:r>
              <w:t xml:space="preserve">60% </w:t>
            </w:r>
          </w:p>
        </w:tc>
      </w:tr>
      <w:tr w:rsidR="008F5CCF" w14:paraId="5309EC86" w14:textId="77777777">
        <w:trPr>
          <w:trHeight w:val="240"/>
        </w:trPr>
        <w:tc>
          <w:tcPr>
            <w:tcW w:w="3020" w:type="dxa"/>
            <w:tcBorders>
              <w:top w:val="single" w:sz="4" w:space="0" w:color="000000"/>
              <w:left w:val="single" w:sz="4" w:space="0" w:color="000000"/>
              <w:bottom w:val="single" w:sz="4" w:space="0" w:color="000000"/>
              <w:right w:val="single" w:sz="4" w:space="0" w:color="000000"/>
            </w:tcBorders>
          </w:tcPr>
          <w:p w14:paraId="76A67E54" w14:textId="77777777" w:rsidR="008F5CCF" w:rsidRDefault="00A81118">
            <w:pPr>
              <w:spacing w:after="0" w:line="259" w:lineRule="auto"/>
              <w:ind w:left="0" w:right="0" w:firstLine="0"/>
              <w:jc w:val="left"/>
            </w:pPr>
            <w:r>
              <w:t xml:space="preserve">GE </w:t>
            </w:r>
          </w:p>
        </w:tc>
        <w:tc>
          <w:tcPr>
            <w:tcW w:w="3780" w:type="dxa"/>
            <w:tcBorders>
              <w:top w:val="single" w:sz="4" w:space="0" w:color="000000"/>
              <w:left w:val="single" w:sz="4" w:space="0" w:color="000000"/>
              <w:bottom w:val="single" w:sz="4" w:space="0" w:color="000000"/>
              <w:right w:val="single" w:sz="4" w:space="0" w:color="000000"/>
            </w:tcBorders>
          </w:tcPr>
          <w:p w14:paraId="6C494C88" w14:textId="77777777" w:rsidR="008F5CCF" w:rsidRDefault="00A81118">
            <w:pPr>
              <w:spacing w:after="0" w:line="259" w:lineRule="auto"/>
              <w:ind w:left="0" w:right="0" w:firstLine="0"/>
              <w:jc w:val="left"/>
            </w:pPr>
            <w:r>
              <w:t xml:space="preserve">50% </w:t>
            </w:r>
          </w:p>
        </w:tc>
      </w:tr>
    </w:tbl>
    <w:p w14:paraId="3EC3B8E8" w14:textId="77777777" w:rsidR="008F5CCF" w:rsidRDefault="00A81118">
      <w:pPr>
        <w:spacing w:after="0" w:line="259" w:lineRule="auto"/>
        <w:ind w:left="0" w:right="0" w:firstLine="0"/>
        <w:jc w:val="left"/>
      </w:pPr>
      <w:r>
        <w:t xml:space="preserve"> </w:t>
      </w:r>
    </w:p>
    <w:p w14:paraId="75996928" w14:textId="77777777" w:rsidR="008F5CCF" w:rsidRDefault="00A81118">
      <w:pPr>
        <w:ind w:left="-15" w:right="0" w:firstLine="0"/>
      </w:pPr>
      <w:r>
        <w:t xml:space="preserve">Ces taux peuvent être majorés de 15% en cas de collaboration effective, avec un taux d’intervention de maximum 80%. </w:t>
      </w:r>
    </w:p>
    <w:p w14:paraId="19640B4F" w14:textId="77777777" w:rsidR="008F5CCF" w:rsidRDefault="00A81118">
      <w:pPr>
        <w:spacing w:after="0" w:line="259" w:lineRule="auto"/>
        <w:ind w:left="0" w:right="0" w:firstLine="0"/>
        <w:jc w:val="left"/>
      </w:pPr>
      <w:r>
        <w:t xml:space="preserve"> </w:t>
      </w:r>
    </w:p>
    <w:p w14:paraId="4AA45B26" w14:textId="77777777" w:rsidR="00D4596A" w:rsidRDefault="00D4596A">
      <w:pPr>
        <w:spacing w:after="4" w:line="250" w:lineRule="auto"/>
        <w:ind w:left="-5" w:right="2704" w:hanging="10"/>
        <w:jc w:val="left"/>
        <w:rPr>
          <w:b/>
        </w:rPr>
      </w:pPr>
    </w:p>
    <w:p w14:paraId="2E129F35" w14:textId="23BAA6F9" w:rsidR="008F5CCF" w:rsidRDefault="00A81118">
      <w:pPr>
        <w:spacing w:after="4" w:line="250" w:lineRule="auto"/>
        <w:ind w:left="-5" w:right="2704" w:hanging="10"/>
        <w:jc w:val="left"/>
      </w:pPr>
      <w:r>
        <w:rPr>
          <w:b/>
        </w:rPr>
        <w:t xml:space="preserve">Développement expérimental (TRL 4 à TRL 7, CRL 4 à CRL 7) </w:t>
      </w:r>
      <w:r>
        <w:rPr>
          <w:i/>
        </w:rPr>
        <w:t xml:space="preserve">Quels projets entrent en ligne de compte pour un financement ? </w:t>
      </w:r>
    </w:p>
    <w:p w14:paraId="1B726F00" w14:textId="77777777" w:rsidR="008F5CCF" w:rsidRDefault="00A81118">
      <w:pPr>
        <w:spacing w:after="0" w:line="259" w:lineRule="auto"/>
        <w:ind w:left="0" w:right="0" w:firstLine="0"/>
        <w:jc w:val="left"/>
      </w:pPr>
      <w:r>
        <w:rPr>
          <w:i/>
        </w:rPr>
        <w:t xml:space="preserve"> </w:t>
      </w:r>
    </w:p>
    <w:p w14:paraId="10191610" w14:textId="77777777" w:rsidR="008F5CCF" w:rsidRDefault="00A81118">
      <w:pPr>
        <w:numPr>
          <w:ilvl w:val="0"/>
          <w:numId w:val="1"/>
        </w:numPr>
        <w:spacing w:line="250" w:lineRule="auto"/>
        <w:ind w:right="0" w:hanging="360"/>
      </w:pPr>
      <w:r>
        <w:t xml:space="preserve">Vous voulez </w:t>
      </w:r>
      <w:r>
        <w:rPr>
          <w:b/>
        </w:rPr>
        <w:t>développer un produit, service ou procédé innovant</w:t>
      </w:r>
      <w:r>
        <w:t xml:space="preserve">. </w:t>
      </w:r>
    </w:p>
    <w:p w14:paraId="2D702D18" w14:textId="77777777" w:rsidR="008F5CCF" w:rsidRDefault="00A81118">
      <w:pPr>
        <w:numPr>
          <w:ilvl w:val="0"/>
          <w:numId w:val="1"/>
        </w:numPr>
        <w:ind w:right="0" w:hanging="360"/>
      </w:pPr>
      <w:r>
        <w:t xml:space="preserve">Vous disposez d’une </w:t>
      </w:r>
      <w:r>
        <w:rPr>
          <w:b/>
        </w:rPr>
        <w:t>première idée de la faisabilité de votre développement</w:t>
      </w:r>
      <w:r>
        <w:t xml:space="preserve">, par exemple parce que vous avez déjà mis au point un POC. </w:t>
      </w:r>
    </w:p>
    <w:p w14:paraId="437EBDEC" w14:textId="77777777" w:rsidR="008F5CCF" w:rsidRDefault="00A81118">
      <w:pPr>
        <w:numPr>
          <w:ilvl w:val="0"/>
          <w:numId w:val="1"/>
        </w:numPr>
        <w:spacing w:after="32"/>
        <w:ind w:right="0" w:hanging="360"/>
      </w:pPr>
      <w:r>
        <w:lastRenderedPageBreak/>
        <w:t xml:space="preserve">Les besoins en termes de fonctionnalités et/ou finalités sont essentiellement connus, même s’ils peuvent encore évoluer à la marge. </w:t>
      </w:r>
    </w:p>
    <w:p w14:paraId="7048D628" w14:textId="77777777" w:rsidR="008F5CCF" w:rsidRDefault="00A81118">
      <w:pPr>
        <w:numPr>
          <w:ilvl w:val="0"/>
          <w:numId w:val="1"/>
        </w:numPr>
        <w:spacing w:after="4" w:line="254" w:lineRule="auto"/>
        <w:ind w:right="0" w:hanging="360"/>
      </w:pPr>
      <w:r>
        <w:t xml:space="preserve">Il reste des </w:t>
      </w:r>
      <w:r>
        <w:rPr>
          <w:b/>
        </w:rPr>
        <w:t xml:space="preserve">inconnues et des risques </w:t>
      </w:r>
      <w:r>
        <w:t xml:space="preserve">liés à l’utilisation de manière concrète des technologies envisagées pour le projet envisagé et à leur intégration au sein du produit, procédé ou service qui sera développé et/ou de la solution existante. Un choix peut par exemple encore devoir être fait entre 2-3 technologies, dont les caractéristiques et avantages/inconvénients théoriques ont déjà été étudiés au moins de façon préliminaire. </w:t>
      </w:r>
    </w:p>
    <w:p w14:paraId="354CAB0D" w14:textId="77777777" w:rsidR="008F5CCF" w:rsidRDefault="00A81118">
      <w:pPr>
        <w:numPr>
          <w:ilvl w:val="0"/>
          <w:numId w:val="1"/>
        </w:numPr>
        <w:ind w:right="0" w:hanging="360"/>
      </w:pPr>
      <w:r>
        <w:t xml:space="preserve">Un </w:t>
      </w:r>
      <w:r>
        <w:rPr>
          <w:b/>
        </w:rPr>
        <w:t xml:space="preserve">plan de développement </w:t>
      </w:r>
      <w:r>
        <w:t xml:space="preserve">a été mis en place et les </w:t>
      </w:r>
      <w:r>
        <w:rPr>
          <w:b/>
        </w:rPr>
        <w:t xml:space="preserve">jalons principaux </w:t>
      </w:r>
      <w:r>
        <w:t xml:space="preserve">ont été fixés. </w:t>
      </w:r>
    </w:p>
    <w:p w14:paraId="594AE890" w14:textId="77777777" w:rsidR="008F5CCF" w:rsidRDefault="00A81118">
      <w:pPr>
        <w:numPr>
          <w:ilvl w:val="0"/>
          <w:numId w:val="1"/>
        </w:numPr>
        <w:ind w:right="0" w:hanging="360"/>
      </w:pPr>
      <w:r>
        <w:t xml:space="preserve">Au terme du projet, </w:t>
      </w:r>
      <w:r>
        <w:rPr>
          <w:b/>
        </w:rPr>
        <w:t xml:space="preserve">le prototype aura été validé dans un environnement réel, </w:t>
      </w:r>
      <w:r>
        <w:t xml:space="preserve">par exemple après avoir été appliqué à un cas pilote. </w:t>
      </w:r>
    </w:p>
    <w:p w14:paraId="29C8CA29" w14:textId="60EFB90C" w:rsidR="008F5CCF" w:rsidRDefault="008F5CCF">
      <w:pPr>
        <w:spacing w:after="0" w:line="259" w:lineRule="auto"/>
        <w:ind w:left="720" w:right="0" w:firstLine="0"/>
        <w:jc w:val="left"/>
      </w:pPr>
    </w:p>
    <w:p w14:paraId="679AE550" w14:textId="77777777" w:rsidR="00D4596A" w:rsidRDefault="00D4596A" w:rsidP="00D4596A">
      <w:pPr>
        <w:spacing w:after="4" w:line="250" w:lineRule="auto"/>
        <w:ind w:left="-5" w:right="2704" w:hanging="10"/>
        <w:jc w:val="left"/>
      </w:pPr>
      <w:r>
        <w:rPr>
          <w:i/>
        </w:rPr>
        <w:t xml:space="preserve">Comment les projets sont-ils financés ? </w:t>
      </w:r>
    </w:p>
    <w:p w14:paraId="3C5C13BE" w14:textId="77777777" w:rsidR="00D4596A" w:rsidRDefault="00D4596A" w:rsidP="00D4596A">
      <w:pPr>
        <w:spacing w:after="0" w:line="259" w:lineRule="auto"/>
        <w:ind w:left="0" w:right="0" w:firstLine="0"/>
        <w:jc w:val="left"/>
      </w:pPr>
      <w:r>
        <w:rPr>
          <w:i/>
        </w:rPr>
        <w:t xml:space="preserve"> </w:t>
      </w:r>
    </w:p>
    <w:p w14:paraId="336E2628" w14:textId="77777777" w:rsidR="00D4596A" w:rsidRDefault="00D4596A" w:rsidP="00D4596A">
      <w:pPr>
        <w:ind w:left="-15" w:right="0" w:firstLine="0"/>
      </w:pPr>
      <w:r>
        <w:t xml:space="preserve">Les projets sont financés sous la forme de subsides. </w:t>
      </w:r>
    </w:p>
    <w:p w14:paraId="013C7315" w14:textId="77777777" w:rsidR="008F5CCF" w:rsidRDefault="00A81118">
      <w:pPr>
        <w:spacing w:after="0" w:line="259" w:lineRule="auto"/>
        <w:ind w:left="0" w:right="0" w:firstLine="0"/>
        <w:jc w:val="left"/>
      </w:pPr>
      <w:r>
        <w:rPr>
          <w:b/>
        </w:rPr>
        <w:t xml:space="preserve"> </w:t>
      </w:r>
    </w:p>
    <w:tbl>
      <w:tblPr>
        <w:tblStyle w:val="TableGrid"/>
        <w:tblW w:w="6337" w:type="dxa"/>
        <w:tblInd w:w="5" w:type="dxa"/>
        <w:tblCellMar>
          <w:top w:w="12" w:type="dxa"/>
          <w:left w:w="108" w:type="dxa"/>
          <w:right w:w="115" w:type="dxa"/>
        </w:tblCellMar>
        <w:tblLook w:val="04A0" w:firstRow="1" w:lastRow="0" w:firstColumn="1" w:lastColumn="0" w:noHBand="0" w:noVBand="1"/>
      </w:tblPr>
      <w:tblGrid>
        <w:gridCol w:w="2837"/>
        <w:gridCol w:w="3500"/>
      </w:tblGrid>
      <w:tr w:rsidR="00283FC7" w14:paraId="24454889" w14:textId="77777777" w:rsidTr="00283FC7">
        <w:trPr>
          <w:trHeight w:val="523"/>
        </w:trPr>
        <w:tc>
          <w:tcPr>
            <w:tcW w:w="2837" w:type="dxa"/>
            <w:tcBorders>
              <w:top w:val="single" w:sz="4" w:space="0" w:color="000000"/>
              <w:left w:val="single" w:sz="4" w:space="0" w:color="000000"/>
              <w:bottom w:val="single" w:sz="4" w:space="0" w:color="000000"/>
              <w:right w:val="single" w:sz="4" w:space="0" w:color="000000"/>
            </w:tcBorders>
          </w:tcPr>
          <w:p w14:paraId="0717916C" w14:textId="77777777" w:rsidR="00283FC7" w:rsidRDefault="00283FC7">
            <w:pPr>
              <w:spacing w:after="0" w:line="259" w:lineRule="auto"/>
              <w:ind w:left="2" w:right="0" w:firstLine="0"/>
              <w:jc w:val="left"/>
            </w:pPr>
            <w:r>
              <w:rPr>
                <w:b/>
              </w:rPr>
              <w:t xml:space="preserve">Taille de l’entreprise </w:t>
            </w:r>
          </w:p>
        </w:tc>
        <w:tc>
          <w:tcPr>
            <w:tcW w:w="3500" w:type="dxa"/>
            <w:tcBorders>
              <w:top w:val="single" w:sz="4" w:space="0" w:color="000000"/>
              <w:left w:val="single" w:sz="4" w:space="0" w:color="000000"/>
              <w:bottom w:val="single" w:sz="4" w:space="0" w:color="000000"/>
              <w:right w:val="single" w:sz="4" w:space="0" w:color="000000"/>
            </w:tcBorders>
          </w:tcPr>
          <w:p w14:paraId="2E3296D5" w14:textId="77777777" w:rsidR="00283FC7" w:rsidRDefault="00283FC7">
            <w:pPr>
              <w:spacing w:after="0" w:line="259" w:lineRule="auto"/>
              <w:ind w:left="2" w:right="0" w:firstLine="0"/>
              <w:jc w:val="left"/>
            </w:pPr>
            <w:r>
              <w:rPr>
                <w:b/>
              </w:rPr>
              <w:t xml:space="preserve">Taux d’intervention subside </w:t>
            </w:r>
          </w:p>
        </w:tc>
      </w:tr>
      <w:tr w:rsidR="00283FC7" w14:paraId="497335BB" w14:textId="77777777" w:rsidTr="00283FC7">
        <w:trPr>
          <w:trHeight w:val="259"/>
        </w:trPr>
        <w:tc>
          <w:tcPr>
            <w:tcW w:w="2837" w:type="dxa"/>
            <w:tcBorders>
              <w:top w:val="single" w:sz="4" w:space="0" w:color="000000"/>
              <w:left w:val="single" w:sz="4" w:space="0" w:color="000000"/>
              <w:bottom w:val="single" w:sz="4" w:space="0" w:color="000000"/>
              <w:right w:val="single" w:sz="4" w:space="0" w:color="000000"/>
            </w:tcBorders>
          </w:tcPr>
          <w:p w14:paraId="10FC7B9A" w14:textId="77777777" w:rsidR="00283FC7" w:rsidRDefault="00283FC7">
            <w:pPr>
              <w:spacing w:after="0" w:line="259" w:lineRule="auto"/>
              <w:ind w:left="2" w:right="0" w:firstLine="0"/>
              <w:jc w:val="left"/>
            </w:pPr>
            <w:r>
              <w:t xml:space="preserve">(T)PE </w:t>
            </w:r>
          </w:p>
        </w:tc>
        <w:tc>
          <w:tcPr>
            <w:tcW w:w="3500" w:type="dxa"/>
            <w:tcBorders>
              <w:top w:val="single" w:sz="4" w:space="0" w:color="000000"/>
              <w:left w:val="single" w:sz="4" w:space="0" w:color="000000"/>
              <w:bottom w:val="single" w:sz="4" w:space="0" w:color="000000"/>
              <w:right w:val="single" w:sz="4" w:space="0" w:color="000000"/>
            </w:tcBorders>
          </w:tcPr>
          <w:p w14:paraId="411E6F87" w14:textId="77777777" w:rsidR="00283FC7" w:rsidRDefault="00283FC7">
            <w:pPr>
              <w:spacing w:after="0" w:line="259" w:lineRule="auto"/>
              <w:ind w:left="2" w:right="0" w:firstLine="0"/>
              <w:jc w:val="left"/>
            </w:pPr>
            <w:r>
              <w:t xml:space="preserve">45% </w:t>
            </w:r>
          </w:p>
        </w:tc>
      </w:tr>
      <w:tr w:rsidR="00283FC7" w14:paraId="22AB4A96" w14:textId="77777777" w:rsidTr="00283FC7">
        <w:trPr>
          <w:trHeight w:val="259"/>
        </w:trPr>
        <w:tc>
          <w:tcPr>
            <w:tcW w:w="2837" w:type="dxa"/>
            <w:tcBorders>
              <w:top w:val="single" w:sz="4" w:space="0" w:color="000000"/>
              <w:left w:val="single" w:sz="4" w:space="0" w:color="000000"/>
              <w:bottom w:val="single" w:sz="4" w:space="0" w:color="000000"/>
              <w:right w:val="single" w:sz="4" w:space="0" w:color="000000"/>
            </w:tcBorders>
          </w:tcPr>
          <w:p w14:paraId="63E1190E" w14:textId="77777777" w:rsidR="00283FC7" w:rsidRDefault="00283FC7">
            <w:pPr>
              <w:spacing w:after="0" w:line="259" w:lineRule="auto"/>
              <w:ind w:left="2" w:right="0" w:firstLine="0"/>
              <w:jc w:val="left"/>
            </w:pPr>
            <w:r>
              <w:t xml:space="preserve">ME </w:t>
            </w:r>
          </w:p>
        </w:tc>
        <w:tc>
          <w:tcPr>
            <w:tcW w:w="3500" w:type="dxa"/>
            <w:tcBorders>
              <w:top w:val="single" w:sz="4" w:space="0" w:color="000000"/>
              <w:left w:val="single" w:sz="4" w:space="0" w:color="000000"/>
              <w:bottom w:val="single" w:sz="4" w:space="0" w:color="000000"/>
              <w:right w:val="single" w:sz="4" w:space="0" w:color="000000"/>
            </w:tcBorders>
          </w:tcPr>
          <w:p w14:paraId="4D8B0AEC" w14:textId="77777777" w:rsidR="00283FC7" w:rsidRDefault="00283FC7">
            <w:pPr>
              <w:spacing w:after="0" w:line="259" w:lineRule="auto"/>
              <w:ind w:left="2" w:right="0" w:firstLine="0"/>
              <w:jc w:val="left"/>
            </w:pPr>
            <w:r>
              <w:t xml:space="preserve">35% </w:t>
            </w:r>
          </w:p>
        </w:tc>
      </w:tr>
      <w:tr w:rsidR="00283FC7" w14:paraId="6A366491" w14:textId="77777777" w:rsidTr="00283FC7">
        <w:trPr>
          <w:trHeight w:val="329"/>
        </w:trPr>
        <w:tc>
          <w:tcPr>
            <w:tcW w:w="2837" w:type="dxa"/>
            <w:tcBorders>
              <w:top w:val="single" w:sz="4" w:space="0" w:color="000000"/>
              <w:left w:val="single" w:sz="4" w:space="0" w:color="000000"/>
              <w:bottom w:val="single" w:sz="4" w:space="0" w:color="000000"/>
              <w:right w:val="single" w:sz="4" w:space="0" w:color="000000"/>
            </w:tcBorders>
          </w:tcPr>
          <w:p w14:paraId="20591358" w14:textId="77777777" w:rsidR="00283FC7" w:rsidRDefault="00283FC7">
            <w:pPr>
              <w:spacing w:after="0" w:line="259" w:lineRule="auto"/>
              <w:ind w:left="2" w:right="0" w:firstLine="0"/>
              <w:jc w:val="left"/>
            </w:pPr>
            <w:r>
              <w:t xml:space="preserve">GE </w:t>
            </w:r>
          </w:p>
        </w:tc>
        <w:tc>
          <w:tcPr>
            <w:tcW w:w="3500" w:type="dxa"/>
            <w:tcBorders>
              <w:top w:val="single" w:sz="4" w:space="0" w:color="000000"/>
              <w:left w:val="single" w:sz="4" w:space="0" w:color="000000"/>
              <w:bottom w:val="single" w:sz="4" w:space="0" w:color="000000"/>
              <w:right w:val="single" w:sz="4" w:space="0" w:color="000000"/>
            </w:tcBorders>
          </w:tcPr>
          <w:p w14:paraId="1447C8F3" w14:textId="77777777" w:rsidR="00283FC7" w:rsidRDefault="00283FC7">
            <w:pPr>
              <w:spacing w:after="0" w:line="259" w:lineRule="auto"/>
              <w:ind w:left="2" w:right="0" w:firstLine="0"/>
              <w:jc w:val="left"/>
            </w:pPr>
            <w:r>
              <w:t xml:space="preserve">25% </w:t>
            </w:r>
          </w:p>
        </w:tc>
      </w:tr>
    </w:tbl>
    <w:p w14:paraId="7A19D634" w14:textId="77777777" w:rsidR="00D4596A" w:rsidRDefault="00D4596A">
      <w:pPr>
        <w:ind w:left="-15" w:right="0" w:firstLine="0"/>
      </w:pPr>
    </w:p>
    <w:p w14:paraId="43BCFBC5" w14:textId="7D0D1634" w:rsidR="008F5CCF" w:rsidRDefault="00A81118">
      <w:pPr>
        <w:ind w:left="-15" w:right="0" w:firstLine="0"/>
      </w:pPr>
      <w:r>
        <w:t xml:space="preserve">Les taux d’intervention peuvent être majorés de 15% en cas de collaboration effective. </w:t>
      </w:r>
    </w:p>
    <w:p w14:paraId="4413A063" w14:textId="77777777" w:rsidR="008F5CCF" w:rsidRDefault="00A81118">
      <w:pPr>
        <w:spacing w:after="0" w:line="259" w:lineRule="auto"/>
        <w:ind w:left="0" w:right="0" w:firstLine="0"/>
        <w:jc w:val="left"/>
      </w:pPr>
      <w:r>
        <w:t xml:space="preserve"> </w:t>
      </w:r>
    </w:p>
    <w:p w14:paraId="097C3515" w14:textId="77777777" w:rsidR="00D4596A" w:rsidRDefault="00D4596A">
      <w:pPr>
        <w:spacing w:line="250" w:lineRule="auto"/>
        <w:ind w:left="0" w:right="0" w:firstLine="0"/>
        <w:jc w:val="left"/>
        <w:rPr>
          <w:b/>
        </w:rPr>
      </w:pPr>
    </w:p>
    <w:p w14:paraId="3FFCDE6A" w14:textId="1E499F97" w:rsidR="008F5CCF" w:rsidRDefault="00A81118">
      <w:pPr>
        <w:spacing w:line="250" w:lineRule="auto"/>
        <w:ind w:left="0" w:right="0" w:firstLine="0"/>
        <w:jc w:val="left"/>
      </w:pPr>
      <w:r>
        <w:rPr>
          <w:b/>
        </w:rPr>
        <w:t xml:space="preserve">Innovation de procédé ou organisationnelle </w:t>
      </w:r>
    </w:p>
    <w:p w14:paraId="62ED6A4A" w14:textId="77777777" w:rsidR="008F5CCF" w:rsidRDefault="00A81118">
      <w:pPr>
        <w:spacing w:after="4" w:line="250" w:lineRule="auto"/>
        <w:ind w:left="-5" w:right="2704" w:hanging="10"/>
        <w:jc w:val="left"/>
      </w:pPr>
      <w:r>
        <w:rPr>
          <w:i/>
        </w:rPr>
        <w:t xml:space="preserve">Quels projets entrent en ligne de compte pour un financement ? </w:t>
      </w:r>
    </w:p>
    <w:p w14:paraId="4913744C" w14:textId="77777777" w:rsidR="008F5CCF" w:rsidRDefault="00A81118">
      <w:pPr>
        <w:spacing w:after="0" w:line="259" w:lineRule="auto"/>
        <w:ind w:left="0" w:right="0" w:firstLine="0"/>
        <w:jc w:val="left"/>
      </w:pPr>
      <w:r>
        <w:rPr>
          <w:i/>
        </w:rPr>
        <w:t xml:space="preserve"> </w:t>
      </w:r>
    </w:p>
    <w:p w14:paraId="0A61522B" w14:textId="77777777" w:rsidR="008F5CCF" w:rsidRDefault="00A81118">
      <w:pPr>
        <w:numPr>
          <w:ilvl w:val="0"/>
          <w:numId w:val="1"/>
        </w:numPr>
        <w:ind w:right="0" w:hanging="360"/>
      </w:pPr>
      <w:r>
        <w:t xml:space="preserve">Vous désirez </w:t>
      </w:r>
      <w:r>
        <w:rPr>
          <w:b/>
        </w:rPr>
        <w:t xml:space="preserve">mettre en place </w:t>
      </w:r>
      <w:r>
        <w:t xml:space="preserve">un nouveau procédé ou une nouvelle méthode de production ou de livraison au sein de votre entreprise </w:t>
      </w:r>
    </w:p>
    <w:p w14:paraId="5299E4D5" w14:textId="77777777" w:rsidR="008F5CCF" w:rsidRDefault="00A81118">
      <w:pPr>
        <w:numPr>
          <w:ilvl w:val="0"/>
          <w:numId w:val="1"/>
        </w:numPr>
        <w:ind w:right="0" w:hanging="360"/>
      </w:pPr>
      <w:r>
        <w:t xml:space="preserve">Vous avez </w:t>
      </w:r>
      <w:r>
        <w:rPr>
          <w:b/>
        </w:rPr>
        <w:t xml:space="preserve">identifié les problèmes </w:t>
      </w:r>
      <w:r>
        <w:t xml:space="preserve">que ce procédé ou cette méthode vise à résoudre </w:t>
      </w:r>
    </w:p>
    <w:p w14:paraId="74EC9578" w14:textId="77777777" w:rsidR="008F5CCF" w:rsidRDefault="00A81118">
      <w:pPr>
        <w:numPr>
          <w:ilvl w:val="0"/>
          <w:numId w:val="1"/>
        </w:numPr>
        <w:ind w:right="0" w:hanging="360"/>
      </w:pPr>
      <w:r>
        <w:t xml:space="preserve">Vous avez </w:t>
      </w:r>
      <w:r>
        <w:rPr>
          <w:b/>
        </w:rPr>
        <w:t xml:space="preserve">réalisé une première estimation des gains </w:t>
      </w:r>
      <w:r>
        <w:t xml:space="preserve">que ce procédé ou cette méthode pourra apporter à votre entreprise </w:t>
      </w:r>
    </w:p>
    <w:p w14:paraId="332F117C" w14:textId="77777777" w:rsidR="008F5CCF" w:rsidRDefault="00A81118">
      <w:pPr>
        <w:numPr>
          <w:ilvl w:val="0"/>
          <w:numId w:val="1"/>
        </w:numPr>
        <w:spacing w:after="30"/>
        <w:ind w:right="0" w:hanging="360"/>
      </w:pPr>
      <w:r>
        <w:t xml:space="preserve">Vous avez </w:t>
      </w:r>
      <w:r>
        <w:rPr>
          <w:b/>
        </w:rPr>
        <w:t xml:space="preserve">mis au point ce procédé ou cette méthode à petite échelle </w:t>
      </w:r>
      <w:r>
        <w:t xml:space="preserve">(projet pilote) et vous devez maintenant l’implémenter au sein de votre entreprise, en situation réelle </w:t>
      </w:r>
    </w:p>
    <w:p w14:paraId="2FBE8350" w14:textId="77777777" w:rsidR="008F5CCF" w:rsidRDefault="00A81118">
      <w:pPr>
        <w:spacing w:after="4" w:line="259" w:lineRule="auto"/>
        <w:ind w:left="0" w:right="0" w:firstLine="0"/>
        <w:jc w:val="left"/>
      </w:pPr>
      <w:r>
        <w:t xml:space="preserve"> </w:t>
      </w:r>
    </w:p>
    <w:p w14:paraId="3AC04F8E" w14:textId="77777777" w:rsidR="008F5CCF" w:rsidRDefault="00A81118">
      <w:pPr>
        <w:spacing w:after="4" w:line="254" w:lineRule="auto"/>
        <w:ind w:left="0" w:right="0" w:firstLine="0"/>
        <w:jc w:val="left"/>
      </w:pPr>
      <w:r>
        <w:t xml:space="preserve">Note : la </w:t>
      </w:r>
      <w:r>
        <w:rPr>
          <w:u w:val="single" w:color="000000"/>
        </w:rPr>
        <w:t>mise au point</w:t>
      </w:r>
      <w:r>
        <w:t xml:space="preserve"> du procédé ou de la méthode n’entre pas en ligne de compte. Celle-ci peut être couverte par une aide au développement expérimental. Il s’agit ici d’implémenter la méthode (passage d’un « prototype » à une plus large échelle, dans un contexte réel) </w:t>
      </w:r>
    </w:p>
    <w:p w14:paraId="7EB8DCF7" w14:textId="77777777" w:rsidR="008F5CCF" w:rsidRDefault="00A81118">
      <w:pPr>
        <w:spacing w:after="0" w:line="259" w:lineRule="auto"/>
        <w:ind w:left="0" w:right="0" w:firstLine="0"/>
        <w:jc w:val="left"/>
      </w:pPr>
      <w:r>
        <w:rPr>
          <w:i/>
        </w:rPr>
        <w:t xml:space="preserve"> </w:t>
      </w:r>
    </w:p>
    <w:p w14:paraId="1501DC87" w14:textId="77777777" w:rsidR="008F5CCF" w:rsidRDefault="00A81118">
      <w:pPr>
        <w:spacing w:after="4" w:line="250" w:lineRule="auto"/>
        <w:ind w:left="-5" w:right="2704" w:hanging="10"/>
        <w:jc w:val="left"/>
      </w:pPr>
      <w:r>
        <w:rPr>
          <w:i/>
        </w:rPr>
        <w:t xml:space="preserve">Comment les projets sont-ils financés ? </w:t>
      </w:r>
    </w:p>
    <w:p w14:paraId="0375F6FF" w14:textId="77777777" w:rsidR="008F5CCF" w:rsidRDefault="00A81118">
      <w:pPr>
        <w:spacing w:after="0" w:line="259" w:lineRule="auto"/>
        <w:ind w:left="0" w:right="0" w:firstLine="0"/>
        <w:jc w:val="left"/>
      </w:pPr>
      <w:r>
        <w:rPr>
          <w:i/>
        </w:rPr>
        <w:t xml:space="preserve"> </w:t>
      </w:r>
    </w:p>
    <w:p w14:paraId="5F9140D8" w14:textId="77777777" w:rsidR="008F5CCF" w:rsidRDefault="00A81118">
      <w:pPr>
        <w:ind w:left="-15" w:right="0" w:firstLine="0"/>
      </w:pPr>
      <w:r>
        <w:t xml:space="preserve">Les projets sont financés sous la forme de subsides. </w:t>
      </w:r>
    </w:p>
    <w:p w14:paraId="62717EC0" w14:textId="77777777" w:rsidR="008F5CCF" w:rsidRDefault="00A81118">
      <w:pPr>
        <w:spacing w:after="0" w:line="259" w:lineRule="auto"/>
        <w:ind w:left="0" w:right="0" w:firstLine="0"/>
        <w:jc w:val="left"/>
      </w:pPr>
      <w:r>
        <w:t xml:space="preserve"> </w:t>
      </w:r>
    </w:p>
    <w:tbl>
      <w:tblPr>
        <w:tblStyle w:val="TableGrid"/>
        <w:tblW w:w="6337" w:type="dxa"/>
        <w:tblInd w:w="5" w:type="dxa"/>
        <w:tblCellMar>
          <w:top w:w="12" w:type="dxa"/>
          <w:left w:w="110" w:type="dxa"/>
          <w:right w:w="504" w:type="dxa"/>
        </w:tblCellMar>
        <w:tblLook w:val="04A0" w:firstRow="1" w:lastRow="0" w:firstColumn="1" w:lastColumn="0" w:noHBand="0" w:noVBand="1"/>
      </w:tblPr>
      <w:tblGrid>
        <w:gridCol w:w="2837"/>
        <w:gridCol w:w="3500"/>
      </w:tblGrid>
      <w:tr w:rsidR="008F5CCF" w14:paraId="61223E94" w14:textId="77777777">
        <w:trPr>
          <w:trHeight w:val="439"/>
        </w:trPr>
        <w:tc>
          <w:tcPr>
            <w:tcW w:w="2837" w:type="dxa"/>
            <w:tcBorders>
              <w:top w:val="single" w:sz="4" w:space="0" w:color="000000"/>
              <w:left w:val="single" w:sz="4" w:space="0" w:color="000000"/>
              <w:bottom w:val="single" w:sz="4" w:space="0" w:color="000000"/>
              <w:right w:val="single" w:sz="4" w:space="0" w:color="000000"/>
            </w:tcBorders>
          </w:tcPr>
          <w:p w14:paraId="37187540" w14:textId="77777777" w:rsidR="008F5CCF" w:rsidRDefault="00A81118">
            <w:pPr>
              <w:spacing w:after="0" w:line="259" w:lineRule="auto"/>
              <w:ind w:left="0" w:right="0" w:firstLine="0"/>
              <w:jc w:val="left"/>
            </w:pPr>
            <w:r>
              <w:rPr>
                <w:b/>
              </w:rPr>
              <w:t xml:space="preserve">Taille de l’entreprise </w:t>
            </w:r>
          </w:p>
        </w:tc>
        <w:tc>
          <w:tcPr>
            <w:tcW w:w="3500" w:type="dxa"/>
            <w:tcBorders>
              <w:top w:val="single" w:sz="4" w:space="0" w:color="000000"/>
              <w:left w:val="single" w:sz="4" w:space="0" w:color="000000"/>
              <w:bottom w:val="single" w:sz="4" w:space="0" w:color="000000"/>
              <w:right w:val="single" w:sz="4" w:space="0" w:color="000000"/>
            </w:tcBorders>
          </w:tcPr>
          <w:p w14:paraId="4056E880" w14:textId="77777777" w:rsidR="008F5CCF" w:rsidRDefault="00A81118">
            <w:pPr>
              <w:spacing w:after="0" w:line="259" w:lineRule="auto"/>
              <w:ind w:left="0" w:right="0" w:firstLine="0"/>
              <w:jc w:val="left"/>
            </w:pPr>
            <w:r>
              <w:rPr>
                <w:b/>
              </w:rPr>
              <w:t xml:space="preserve">Taux d’intervention subside </w:t>
            </w:r>
          </w:p>
        </w:tc>
      </w:tr>
      <w:tr w:rsidR="008F5CCF" w14:paraId="48AB853E" w14:textId="77777777">
        <w:trPr>
          <w:trHeight w:val="259"/>
        </w:trPr>
        <w:tc>
          <w:tcPr>
            <w:tcW w:w="2837" w:type="dxa"/>
            <w:tcBorders>
              <w:top w:val="single" w:sz="4" w:space="0" w:color="000000"/>
              <w:left w:val="single" w:sz="4" w:space="0" w:color="000000"/>
              <w:bottom w:val="single" w:sz="4" w:space="0" w:color="000000"/>
              <w:right w:val="single" w:sz="4" w:space="0" w:color="000000"/>
            </w:tcBorders>
          </w:tcPr>
          <w:p w14:paraId="79C7A9ED" w14:textId="77777777" w:rsidR="008F5CCF" w:rsidRDefault="00A81118">
            <w:pPr>
              <w:spacing w:after="0" w:line="259" w:lineRule="auto"/>
              <w:ind w:left="0" w:right="0" w:firstLine="0"/>
              <w:jc w:val="left"/>
            </w:pPr>
            <w:r>
              <w:t xml:space="preserve">(T)PE </w:t>
            </w:r>
          </w:p>
        </w:tc>
        <w:tc>
          <w:tcPr>
            <w:tcW w:w="3500" w:type="dxa"/>
            <w:tcBorders>
              <w:top w:val="single" w:sz="4" w:space="0" w:color="000000"/>
              <w:left w:val="single" w:sz="4" w:space="0" w:color="000000"/>
              <w:bottom w:val="single" w:sz="4" w:space="0" w:color="000000"/>
              <w:right w:val="single" w:sz="4" w:space="0" w:color="000000"/>
            </w:tcBorders>
          </w:tcPr>
          <w:p w14:paraId="7BCED418" w14:textId="77777777" w:rsidR="008F5CCF" w:rsidRDefault="00A81118">
            <w:pPr>
              <w:spacing w:after="0" w:line="259" w:lineRule="auto"/>
              <w:ind w:left="0" w:right="0" w:firstLine="0"/>
              <w:jc w:val="left"/>
            </w:pPr>
            <w:r>
              <w:t xml:space="preserve">50% </w:t>
            </w:r>
          </w:p>
        </w:tc>
      </w:tr>
      <w:tr w:rsidR="008F5CCF" w14:paraId="16B7162E" w14:textId="77777777">
        <w:trPr>
          <w:trHeight w:val="259"/>
        </w:trPr>
        <w:tc>
          <w:tcPr>
            <w:tcW w:w="2837" w:type="dxa"/>
            <w:tcBorders>
              <w:top w:val="single" w:sz="4" w:space="0" w:color="000000"/>
              <w:left w:val="single" w:sz="4" w:space="0" w:color="000000"/>
              <w:bottom w:val="single" w:sz="4" w:space="0" w:color="000000"/>
              <w:right w:val="single" w:sz="4" w:space="0" w:color="000000"/>
            </w:tcBorders>
          </w:tcPr>
          <w:p w14:paraId="77238458" w14:textId="77777777" w:rsidR="008F5CCF" w:rsidRDefault="00A81118">
            <w:pPr>
              <w:spacing w:after="0" w:line="259" w:lineRule="auto"/>
              <w:ind w:left="0" w:right="0" w:firstLine="0"/>
              <w:jc w:val="left"/>
            </w:pPr>
            <w:r>
              <w:t xml:space="preserve">ME </w:t>
            </w:r>
          </w:p>
        </w:tc>
        <w:tc>
          <w:tcPr>
            <w:tcW w:w="3500" w:type="dxa"/>
            <w:tcBorders>
              <w:top w:val="single" w:sz="4" w:space="0" w:color="000000"/>
              <w:left w:val="single" w:sz="4" w:space="0" w:color="000000"/>
              <w:bottom w:val="single" w:sz="4" w:space="0" w:color="000000"/>
              <w:right w:val="single" w:sz="4" w:space="0" w:color="000000"/>
            </w:tcBorders>
          </w:tcPr>
          <w:p w14:paraId="28992898" w14:textId="77777777" w:rsidR="008F5CCF" w:rsidRDefault="00A81118">
            <w:pPr>
              <w:spacing w:after="0" w:line="259" w:lineRule="auto"/>
              <w:ind w:left="0" w:right="0" w:firstLine="0"/>
              <w:jc w:val="left"/>
            </w:pPr>
            <w:r>
              <w:t xml:space="preserve">50% </w:t>
            </w:r>
          </w:p>
        </w:tc>
      </w:tr>
      <w:tr w:rsidR="008F5CCF" w14:paraId="2C12CDCC" w14:textId="77777777">
        <w:trPr>
          <w:trHeight w:val="470"/>
        </w:trPr>
        <w:tc>
          <w:tcPr>
            <w:tcW w:w="2837" w:type="dxa"/>
            <w:tcBorders>
              <w:top w:val="single" w:sz="4" w:space="0" w:color="000000"/>
              <w:left w:val="single" w:sz="4" w:space="0" w:color="000000"/>
              <w:bottom w:val="single" w:sz="4" w:space="0" w:color="000000"/>
              <w:right w:val="single" w:sz="4" w:space="0" w:color="000000"/>
            </w:tcBorders>
          </w:tcPr>
          <w:p w14:paraId="08DA96B7" w14:textId="77777777" w:rsidR="008F5CCF" w:rsidRDefault="00A81118">
            <w:pPr>
              <w:spacing w:after="0" w:line="259" w:lineRule="auto"/>
              <w:ind w:left="0" w:right="0" w:firstLine="0"/>
            </w:pPr>
            <w:r>
              <w:t xml:space="preserve">GE (en collaboration effective avec une PME) </w:t>
            </w:r>
          </w:p>
        </w:tc>
        <w:tc>
          <w:tcPr>
            <w:tcW w:w="3500" w:type="dxa"/>
            <w:tcBorders>
              <w:top w:val="single" w:sz="4" w:space="0" w:color="000000"/>
              <w:left w:val="single" w:sz="4" w:space="0" w:color="000000"/>
              <w:bottom w:val="single" w:sz="4" w:space="0" w:color="000000"/>
              <w:right w:val="single" w:sz="4" w:space="0" w:color="000000"/>
            </w:tcBorders>
          </w:tcPr>
          <w:p w14:paraId="44D4A034" w14:textId="77777777" w:rsidR="008F5CCF" w:rsidRDefault="00A81118">
            <w:pPr>
              <w:spacing w:after="0" w:line="259" w:lineRule="auto"/>
              <w:ind w:left="0" w:right="0" w:firstLine="0"/>
              <w:jc w:val="left"/>
            </w:pPr>
            <w:r>
              <w:t xml:space="preserve">15% </w:t>
            </w:r>
          </w:p>
        </w:tc>
      </w:tr>
    </w:tbl>
    <w:p w14:paraId="686DDBF4" w14:textId="77777777" w:rsidR="008F5CCF" w:rsidRDefault="00A81118">
      <w:pPr>
        <w:spacing w:after="235" w:line="259" w:lineRule="auto"/>
        <w:ind w:left="0" w:right="0" w:firstLine="0"/>
        <w:jc w:val="left"/>
      </w:pPr>
      <w:r>
        <w:rPr>
          <w:b/>
        </w:rPr>
        <w:t xml:space="preserve"> </w:t>
      </w:r>
    </w:p>
    <w:p w14:paraId="45334CAF" w14:textId="77777777" w:rsidR="00283FC7" w:rsidRDefault="00283FC7">
      <w:pPr>
        <w:pStyle w:val="Titre2"/>
        <w:ind w:left="-5"/>
      </w:pPr>
    </w:p>
    <w:p w14:paraId="2AC5E6BD" w14:textId="77777777" w:rsidR="00283FC7" w:rsidRDefault="00283FC7">
      <w:pPr>
        <w:spacing w:after="160" w:line="278" w:lineRule="auto"/>
        <w:ind w:left="0" w:right="0" w:firstLine="0"/>
        <w:jc w:val="left"/>
        <w:rPr>
          <w:b/>
          <w:color w:val="004586"/>
          <w:sz w:val="28"/>
        </w:rPr>
      </w:pPr>
      <w:r>
        <w:br w:type="page"/>
      </w:r>
    </w:p>
    <w:p w14:paraId="599C1F78" w14:textId="5C119D21" w:rsidR="008F5CCF" w:rsidRDefault="00A81118">
      <w:pPr>
        <w:pStyle w:val="Titre2"/>
        <w:ind w:left="-5"/>
      </w:pPr>
      <w:r>
        <w:lastRenderedPageBreak/>
        <w:t xml:space="preserve">Frais éligibles </w:t>
      </w:r>
    </w:p>
    <w:p w14:paraId="557013C9" w14:textId="77777777" w:rsidR="008F5CCF" w:rsidRDefault="00A81118">
      <w:pPr>
        <w:spacing w:after="43" w:line="259" w:lineRule="auto"/>
        <w:ind w:left="0" w:right="0" w:firstLine="0"/>
        <w:jc w:val="left"/>
      </w:pPr>
      <w:r>
        <w:rPr>
          <w:b/>
          <w:color w:val="004586"/>
        </w:rPr>
        <w:t xml:space="preserve"> </w:t>
      </w:r>
    </w:p>
    <w:p w14:paraId="47B3F404" w14:textId="77777777" w:rsidR="008F5CCF" w:rsidRDefault="00A81118">
      <w:pPr>
        <w:spacing w:after="124"/>
        <w:ind w:left="-15" w:right="0" w:firstLine="0"/>
      </w:pPr>
      <w:r>
        <w:t xml:space="preserve">Les frais éligibles sont les suivants : </w:t>
      </w:r>
    </w:p>
    <w:p w14:paraId="5DA509CE" w14:textId="77777777" w:rsidR="008F5CCF" w:rsidRDefault="00A81118">
      <w:pPr>
        <w:numPr>
          <w:ilvl w:val="0"/>
          <w:numId w:val="2"/>
        </w:numPr>
        <w:spacing w:after="113"/>
        <w:ind w:right="0" w:hanging="358"/>
      </w:pPr>
      <w:r>
        <w:rPr>
          <w:b/>
        </w:rPr>
        <w:t>Frais de personnel :</w:t>
      </w:r>
      <w:r>
        <w:t xml:space="preserve"> les coûts liés au personnel (salarié ou indépendant) dans la mesure où ils sont employés pour le projet. Les salaires doivent être conformes aux usages et barèmes (le cas échéant) du secteur d’activité visé. </w:t>
      </w:r>
    </w:p>
    <w:p w14:paraId="1F760133" w14:textId="77777777" w:rsidR="008F5CCF" w:rsidRDefault="00A81118">
      <w:pPr>
        <w:numPr>
          <w:ilvl w:val="0"/>
          <w:numId w:val="2"/>
        </w:numPr>
        <w:spacing w:after="125"/>
        <w:ind w:right="0" w:hanging="358"/>
      </w:pPr>
      <w:r>
        <w:rPr>
          <w:b/>
        </w:rPr>
        <w:t xml:space="preserve">Frais d’investissement : </w:t>
      </w:r>
      <w:r>
        <w:t>coûts des instruments et équipements utilisés au cours du projet (coût d’achat/durée d’amortissement*durée d’utilisation dans le projet*taux d’utilisation)</w:t>
      </w:r>
      <w:r>
        <w:rPr>
          <w:b/>
        </w:rPr>
        <w:t>.</w:t>
      </w:r>
      <w:r>
        <w:t xml:space="preserve"> </w:t>
      </w:r>
    </w:p>
    <w:p w14:paraId="0D18C172" w14:textId="77777777" w:rsidR="008F5CCF" w:rsidRDefault="00A81118">
      <w:pPr>
        <w:numPr>
          <w:ilvl w:val="0"/>
          <w:numId w:val="2"/>
        </w:numPr>
        <w:spacing w:after="113"/>
        <w:ind w:right="0" w:hanging="358"/>
      </w:pPr>
      <w:r>
        <w:rPr>
          <w:b/>
        </w:rPr>
        <w:t xml:space="preserve">Frais de sous-traitance : </w:t>
      </w:r>
      <w:r>
        <w:t xml:space="preserve">il s’agit ici principalement de la sous-traitance au sens large. L’entreprise peut, si besoin est, faire appel à des expertises externes pertinentes (telles que des prestations effectuées par un Fablab).  </w:t>
      </w:r>
    </w:p>
    <w:p w14:paraId="09C1E392" w14:textId="77777777" w:rsidR="008F5CCF" w:rsidRDefault="00A81118">
      <w:pPr>
        <w:numPr>
          <w:ilvl w:val="0"/>
          <w:numId w:val="2"/>
        </w:numPr>
        <w:spacing w:after="90"/>
        <w:ind w:right="0" w:hanging="358"/>
      </w:pPr>
      <w:r>
        <w:rPr>
          <w:b/>
        </w:rPr>
        <w:t xml:space="preserve">Frais d’exploitation : </w:t>
      </w:r>
      <w:r>
        <w:t xml:space="preserve">notamment les coûts des matériaux, fournitures et produits, nécessaires à la bonne réalisation du projet.  </w:t>
      </w:r>
    </w:p>
    <w:p w14:paraId="6E441182" w14:textId="77777777" w:rsidR="008F5CCF" w:rsidRDefault="00A81118">
      <w:pPr>
        <w:spacing w:after="88"/>
        <w:ind w:left="-15" w:right="0" w:firstLine="0"/>
      </w:pPr>
      <w:r>
        <w:t xml:space="preserve">Une description plus détaillée des frais éligibles est disponible dans les </w:t>
      </w:r>
      <w:hyperlink r:id="rId8">
        <w:r w:rsidR="008F5CCF">
          <w:rPr>
            <w:color w:val="0563C1"/>
            <w:u w:val="single" w:color="0563C1"/>
          </w:rPr>
          <w:t>directives comptables</w:t>
        </w:r>
      </w:hyperlink>
      <w:hyperlink r:id="rId9">
        <w:r w:rsidR="008F5CCF">
          <w:rPr>
            <w:color w:val="0563C1"/>
          </w:rPr>
          <w:t xml:space="preserve"> </w:t>
        </w:r>
      </w:hyperlink>
      <w:hyperlink r:id="rId10">
        <w:r w:rsidR="008F5CCF">
          <w:rPr>
            <w:color w:val="0563C1"/>
            <w:u w:val="single" w:color="0563C1"/>
          </w:rPr>
          <w:t>d’Innoviris</w:t>
        </w:r>
      </w:hyperlink>
      <w:hyperlink r:id="rId11">
        <w:r w:rsidR="008F5CCF">
          <w:t>.</w:t>
        </w:r>
      </w:hyperlink>
      <w:r>
        <w:t xml:space="preserve"> </w:t>
      </w:r>
    </w:p>
    <w:p w14:paraId="44608E47" w14:textId="77777777" w:rsidR="008F5CCF" w:rsidRDefault="00A81118">
      <w:pPr>
        <w:spacing w:after="0" w:line="259" w:lineRule="auto"/>
        <w:ind w:left="0" w:right="0" w:firstLine="0"/>
        <w:jc w:val="left"/>
      </w:pPr>
      <w:r>
        <w:t xml:space="preserve"> </w:t>
      </w:r>
    </w:p>
    <w:p w14:paraId="546F695D" w14:textId="77777777" w:rsidR="000723F6" w:rsidRDefault="000723F6">
      <w:pPr>
        <w:spacing w:after="0" w:line="259" w:lineRule="auto"/>
        <w:ind w:left="0" w:right="0" w:firstLine="0"/>
        <w:jc w:val="left"/>
      </w:pPr>
    </w:p>
    <w:tbl>
      <w:tblPr>
        <w:tblStyle w:val="TableGrid"/>
        <w:tblW w:w="9064" w:type="dxa"/>
        <w:tblInd w:w="5" w:type="dxa"/>
        <w:tblCellMar>
          <w:top w:w="13" w:type="dxa"/>
          <w:left w:w="110" w:type="dxa"/>
          <w:right w:w="57" w:type="dxa"/>
        </w:tblCellMar>
        <w:tblLook w:val="04A0" w:firstRow="1" w:lastRow="0" w:firstColumn="1" w:lastColumn="0" w:noHBand="0" w:noVBand="1"/>
      </w:tblPr>
      <w:tblGrid>
        <w:gridCol w:w="9064"/>
      </w:tblGrid>
      <w:tr w:rsidR="008F5CCF" w14:paraId="5C2B6524" w14:textId="77777777">
        <w:trPr>
          <w:trHeight w:val="360"/>
        </w:trPr>
        <w:tc>
          <w:tcPr>
            <w:tcW w:w="9064" w:type="dxa"/>
            <w:tcBorders>
              <w:top w:val="single" w:sz="4" w:space="0" w:color="000000"/>
              <w:left w:val="single" w:sz="4" w:space="0" w:color="000000"/>
              <w:bottom w:val="single" w:sz="4" w:space="0" w:color="000000"/>
              <w:right w:val="single" w:sz="4" w:space="0" w:color="000000"/>
            </w:tcBorders>
          </w:tcPr>
          <w:p w14:paraId="473F22EB" w14:textId="77777777" w:rsidR="008F5CCF" w:rsidRDefault="00A81118">
            <w:pPr>
              <w:spacing w:after="0" w:line="259" w:lineRule="auto"/>
              <w:ind w:left="0" w:right="0" w:firstLine="0"/>
              <w:jc w:val="left"/>
            </w:pPr>
            <w:r>
              <w:rPr>
                <w:b/>
              </w:rPr>
              <w:t xml:space="preserve">Remarque – Disponibilité de fonds propres </w:t>
            </w:r>
          </w:p>
        </w:tc>
      </w:tr>
      <w:tr w:rsidR="008F5CCF" w14:paraId="69151720" w14:textId="77777777">
        <w:trPr>
          <w:trHeight w:val="1282"/>
        </w:trPr>
        <w:tc>
          <w:tcPr>
            <w:tcW w:w="9064" w:type="dxa"/>
            <w:tcBorders>
              <w:top w:val="single" w:sz="4" w:space="0" w:color="000000"/>
              <w:left w:val="single" w:sz="4" w:space="0" w:color="000000"/>
              <w:bottom w:val="single" w:sz="4" w:space="0" w:color="000000"/>
              <w:right w:val="single" w:sz="4" w:space="0" w:color="000000"/>
            </w:tcBorders>
          </w:tcPr>
          <w:p w14:paraId="07D3F2C5" w14:textId="77777777" w:rsidR="008F5CCF" w:rsidRDefault="00A81118">
            <w:pPr>
              <w:spacing w:after="0" w:line="259" w:lineRule="auto"/>
              <w:ind w:left="0" w:right="57" w:firstLine="0"/>
            </w:pPr>
            <w:r>
              <w:t xml:space="preserve">En plus d’être capable d’assurer sa quote-part dans le cadre du projet, il est important de noter que toute organisation candidate doit être financièrement prête à avancer les frais nécessaires à la réalisation du projet étant donné d’une part qu’il est possible qu’il y ait un décalage entre la date de début du projet et la réception de la première tranche de subside, et d’autre part que le paiement d’une partie du subside est toujours réalisé a posteriori de la fin du projet.  </w:t>
            </w:r>
          </w:p>
        </w:tc>
      </w:tr>
    </w:tbl>
    <w:p w14:paraId="6925233B" w14:textId="77777777" w:rsidR="008F5CCF" w:rsidRDefault="00A81118">
      <w:pPr>
        <w:spacing w:after="283" w:line="259" w:lineRule="auto"/>
        <w:ind w:left="0" w:right="0" w:firstLine="0"/>
        <w:jc w:val="left"/>
      </w:pPr>
      <w:r>
        <w:t xml:space="preserve"> </w:t>
      </w:r>
    </w:p>
    <w:p w14:paraId="50C56AE5" w14:textId="77777777" w:rsidR="008F5CCF" w:rsidRDefault="00A81118">
      <w:pPr>
        <w:pStyle w:val="Titre2"/>
        <w:ind w:left="-5"/>
      </w:pPr>
      <w:r>
        <w:t xml:space="preserve">Critères d’éligibilité </w:t>
      </w:r>
    </w:p>
    <w:p w14:paraId="40A2B293" w14:textId="77777777" w:rsidR="008F5CCF" w:rsidRDefault="00A81118">
      <w:pPr>
        <w:spacing w:after="70" w:line="259" w:lineRule="auto"/>
        <w:ind w:left="0" w:right="0" w:firstLine="0"/>
        <w:jc w:val="left"/>
      </w:pPr>
      <w:r>
        <w:rPr>
          <w:b/>
        </w:rPr>
        <w:t xml:space="preserve"> </w:t>
      </w:r>
    </w:p>
    <w:p w14:paraId="3CA99402" w14:textId="77777777" w:rsidR="008F5CCF" w:rsidRDefault="00A81118">
      <w:pPr>
        <w:spacing w:after="151"/>
        <w:ind w:left="-15" w:right="0" w:firstLine="0"/>
      </w:pPr>
      <w:r>
        <w:t xml:space="preserve">Afin de pouvoir bénéficier de l’intervention financière de la Région de Bruxelles-Capitale dans le cadre de ce programme, chaque candidat·e doit : </w:t>
      </w:r>
    </w:p>
    <w:p w14:paraId="509FEC10" w14:textId="77777777" w:rsidR="008F5CCF" w:rsidRDefault="00A81118">
      <w:pPr>
        <w:numPr>
          <w:ilvl w:val="0"/>
          <w:numId w:val="3"/>
        </w:numPr>
        <w:spacing w:after="114"/>
        <w:ind w:right="0" w:hanging="355"/>
        <w:jc w:val="left"/>
      </w:pPr>
      <w:r>
        <w:rPr>
          <w:b/>
        </w:rPr>
        <w:t>Être une entreprise</w:t>
      </w:r>
      <w:r>
        <w:t xml:space="preserve"> : toute entreprise dotée d’une personnalité juridique de toute forme (SA, ASBL, SC, SRL, etc.) à la date de clôture de l’appel est éligible. </w:t>
      </w:r>
    </w:p>
    <w:p w14:paraId="22300BC3" w14:textId="77777777" w:rsidR="008F5CCF" w:rsidRDefault="00A81118">
      <w:pPr>
        <w:numPr>
          <w:ilvl w:val="0"/>
          <w:numId w:val="3"/>
        </w:numPr>
        <w:spacing w:after="52" w:line="250" w:lineRule="auto"/>
        <w:ind w:right="0" w:hanging="355"/>
        <w:jc w:val="left"/>
      </w:pPr>
      <w:r>
        <w:rPr>
          <w:b/>
        </w:rPr>
        <w:t>Avoir au moins un siège d’exploitation en RBC</w:t>
      </w:r>
      <w:r>
        <w:t xml:space="preserve">. </w:t>
      </w:r>
    </w:p>
    <w:p w14:paraId="28400B89" w14:textId="77777777" w:rsidR="008F5CCF" w:rsidRDefault="00A81118">
      <w:pPr>
        <w:numPr>
          <w:ilvl w:val="0"/>
          <w:numId w:val="3"/>
        </w:numPr>
        <w:spacing w:after="96"/>
        <w:ind w:right="0" w:hanging="355"/>
        <w:jc w:val="left"/>
      </w:pPr>
      <w:r>
        <w:rPr>
          <w:b/>
        </w:rPr>
        <w:t>Ne pas être en difficulté financière</w:t>
      </w:r>
      <w:r>
        <w:t xml:space="preserve"> : voir point 20 des Lignes directrices concernant les aides d’État au sauvetage et à la restructuration d’entreprises en difficulté autres que les établissements financiers. Cet aspect ne concerne que les entreprises qui existent depuis plus de trois ans. </w:t>
      </w:r>
    </w:p>
    <w:p w14:paraId="3C075C7D" w14:textId="77777777" w:rsidR="008F5CCF" w:rsidRDefault="00A81118">
      <w:pPr>
        <w:numPr>
          <w:ilvl w:val="0"/>
          <w:numId w:val="3"/>
        </w:numPr>
        <w:spacing w:after="122" w:line="250" w:lineRule="auto"/>
        <w:ind w:right="0" w:hanging="355"/>
        <w:jc w:val="left"/>
      </w:pPr>
      <w:r>
        <w:rPr>
          <w:b/>
        </w:rPr>
        <w:t>Proposer un projet qui corresponde au périmètre de l’action</w:t>
      </w:r>
      <w:r>
        <w:t xml:space="preserve"> : le projet doit répondre aux objectifs du programme. </w:t>
      </w:r>
    </w:p>
    <w:p w14:paraId="0173F976" w14:textId="77777777" w:rsidR="008F5CCF" w:rsidRDefault="00A81118">
      <w:pPr>
        <w:numPr>
          <w:ilvl w:val="0"/>
          <w:numId w:val="3"/>
        </w:numPr>
        <w:spacing w:after="115" w:line="250" w:lineRule="auto"/>
        <w:ind w:right="0" w:hanging="355"/>
        <w:jc w:val="left"/>
      </w:pPr>
      <w:r>
        <w:rPr>
          <w:b/>
        </w:rPr>
        <w:t>Avoir rempli le cas échéant ses obligations envers la Région dans le cadre d’aides antérieures</w:t>
      </w:r>
      <w:r>
        <w:t xml:space="preserve">. </w:t>
      </w:r>
    </w:p>
    <w:p w14:paraId="5935D35F" w14:textId="77777777" w:rsidR="008F5CCF" w:rsidRDefault="00A81118">
      <w:pPr>
        <w:numPr>
          <w:ilvl w:val="0"/>
          <w:numId w:val="3"/>
        </w:numPr>
        <w:spacing w:after="116" w:line="254" w:lineRule="auto"/>
        <w:ind w:right="0" w:hanging="355"/>
        <w:jc w:val="left"/>
      </w:pPr>
      <w:r>
        <w:rPr>
          <w:b/>
        </w:rPr>
        <w:t>Démontrer l’effet incitatif de l’aide</w:t>
      </w:r>
      <w:r>
        <w:t xml:space="preserve"> l’entreprise candidate doit démontrer que le projet ne pourrait pas être réalisé, ou devrait être sensiblement moins ambitieux, sans l’intervention d’Innoviris. </w:t>
      </w:r>
    </w:p>
    <w:p w14:paraId="00FAC380" w14:textId="77777777" w:rsidR="008F5CCF" w:rsidRDefault="00A81118">
      <w:pPr>
        <w:numPr>
          <w:ilvl w:val="0"/>
          <w:numId w:val="3"/>
        </w:numPr>
        <w:spacing w:after="72" w:line="250" w:lineRule="auto"/>
        <w:ind w:right="0" w:hanging="355"/>
        <w:jc w:val="left"/>
      </w:pPr>
      <w:r>
        <w:rPr>
          <w:b/>
        </w:rPr>
        <w:t>Ne pas déjà bénéficier d’un soutien public pour les tâches reprises dans le projet</w:t>
      </w:r>
      <w:r>
        <w:t xml:space="preserve"> (interdiction de double financement). </w:t>
      </w:r>
    </w:p>
    <w:p w14:paraId="2F2AB83A" w14:textId="77777777" w:rsidR="008F5CCF" w:rsidRDefault="00A81118">
      <w:pPr>
        <w:spacing w:after="0" w:line="259" w:lineRule="auto"/>
        <w:ind w:left="0" w:right="0" w:firstLine="0"/>
        <w:jc w:val="left"/>
      </w:pPr>
      <w:r>
        <w:t xml:space="preserve"> </w:t>
      </w:r>
    </w:p>
    <w:p w14:paraId="5B320732" w14:textId="77777777" w:rsidR="00283FC7" w:rsidRDefault="00283FC7">
      <w:pPr>
        <w:spacing w:after="0" w:line="259" w:lineRule="auto"/>
        <w:ind w:left="0" w:right="0" w:firstLine="0"/>
        <w:jc w:val="left"/>
      </w:pPr>
    </w:p>
    <w:tbl>
      <w:tblPr>
        <w:tblStyle w:val="TableGrid"/>
        <w:tblW w:w="9064" w:type="dxa"/>
        <w:tblInd w:w="5" w:type="dxa"/>
        <w:tblCellMar>
          <w:top w:w="12" w:type="dxa"/>
          <w:left w:w="110" w:type="dxa"/>
          <w:right w:w="57" w:type="dxa"/>
        </w:tblCellMar>
        <w:tblLook w:val="04A0" w:firstRow="1" w:lastRow="0" w:firstColumn="1" w:lastColumn="0" w:noHBand="0" w:noVBand="1"/>
      </w:tblPr>
      <w:tblGrid>
        <w:gridCol w:w="9064"/>
      </w:tblGrid>
      <w:tr w:rsidR="008F5CCF" w14:paraId="7EB643C1" w14:textId="77777777">
        <w:trPr>
          <w:trHeight w:val="360"/>
        </w:trPr>
        <w:tc>
          <w:tcPr>
            <w:tcW w:w="9064" w:type="dxa"/>
            <w:tcBorders>
              <w:top w:val="single" w:sz="4" w:space="0" w:color="000000"/>
              <w:left w:val="single" w:sz="4" w:space="0" w:color="000000"/>
              <w:bottom w:val="single" w:sz="4" w:space="0" w:color="000000"/>
              <w:right w:val="single" w:sz="4" w:space="0" w:color="000000"/>
            </w:tcBorders>
          </w:tcPr>
          <w:p w14:paraId="14EA61CA" w14:textId="77777777" w:rsidR="008F5CCF" w:rsidRDefault="00A81118">
            <w:pPr>
              <w:spacing w:after="0" w:line="259" w:lineRule="auto"/>
              <w:ind w:left="0" w:right="0" w:firstLine="0"/>
              <w:jc w:val="left"/>
            </w:pPr>
            <w:r>
              <w:rPr>
                <w:b/>
              </w:rPr>
              <w:lastRenderedPageBreak/>
              <w:t xml:space="preserve">Remarque – Projet en collaboration </w:t>
            </w:r>
          </w:p>
        </w:tc>
      </w:tr>
      <w:tr w:rsidR="008F5CCF" w14:paraId="01F1B673" w14:textId="77777777">
        <w:trPr>
          <w:trHeight w:val="1860"/>
        </w:trPr>
        <w:tc>
          <w:tcPr>
            <w:tcW w:w="9064" w:type="dxa"/>
            <w:tcBorders>
              <w:top w:val="single" w:sz="4" w:space="0" w:color="000000"/>
              <w:left w:val="single" w:sz="4" w:space="0" w:color="000000"/>
              <w:bottom w:val="single" w:sz="4" w:space="0" w:color="000000"/>
              <w:right w:val="single" w:sz="4" w:space="0" w:color="000000"/>
            </w:tcBorders>
          </w:tcPr>
          <w:p w14:paraId="3152429B" w14:textId="77777777" w:rsidR="008F5CCF" w:rsidRDefault="00A81118">
            <w:pPr>
              <w:spacing w:after="118" w:line="241" w:lineRule="auto"/>
              <w:ind w:left="0" w:right="57" w:firstLine="0"/>
            </w:pPr>
            <w:r>
              <w:t xml:space="preserve">Dans le cadre de cet appel à projets, les collaborations entre entreprises sont possibles, pour autant que chaque partenaire, non seulement, effectue des tâches d’expérimentation et de R&amp;D, mais également réalise une activité novatrice impliquant des inconnues suffisamment importantes et sources de risques pour justifier une intervention publique. </w:t>
            </w:r>
          </w:p>
          <w:p w14:paraId="3BD1FD5D" w14:textId="77777777" w:rsidR="008F5CCF" w:rsidRDefault="00A81118">
            <w:pPr>
              <w:spacing w:after="0" w:line="259" w:lineRule="auto"/>
              <w:ind w:left="0" w:right="59" w:firstLine="0"/>
            </w:pPr>
            <w:r>
              <w:t xml:space="preserve">Dans ce cas, une seule demande de financement devra être soumise, via le formulaire dédié aux projets collaboratifs “Joint R&amp;D Project”. La répartition des tâches entre les différents partenaires devra également être décrite dans le programme de travail.  </w:t>
            </w:r>
          </w:p>
        </w:tc>
      </w:tr>
    </w:tbl>
    <w:p w14:paraId="30F10F34" w14:textId="77777777" w:rsidR="008F5CCF" w:rsidRDefault="00A81118">
      <w:pPr>
        <w:spacing w:after="235" w:line="259" w:lineRule="auto"/>
        <w:ind w:left="0" w:right="0" w:firstLine="0"/>
        <w:jc w:val="left"/>
      </w:pPr>
      <w:r>
        <w:t xml:space="preserve"> </w:t>
      </w:r>
    </w:p>
    <w:p w14:paraId="2AE104ED" w14:textId="77777777" w:rsidR="008F5CCF" w:rsidRDefault="00A81118">
      <w:pPr>
        <w:pStyle w:val="Titre2"/>
        <w:ind w:left="-5"/>
      </w:pPr>
      <w:r>
        <w:t xml:space="preserve">Sélection/évaluation des demandes </w:t>
      </w:r>
    </w:p>
    <w:p w14:paraId="1586CA12" w14:textId="77777777" w:rsidR="008F5CCF" w:rsidRDefault="00A81118">
      <w:pPr>
        <w:spacing w:after="75" w:line="259" w:lineRule="auto"/>
        <w:ind w:left="0" w:right="0" w:firstLine="0"/>
        <w:jc w:val="left"/>
      </w:pPr>
      <w:r>
        <w:rPr>
          <w:b/>
        </w:rPr>
        <w:t xml:space="preserve"> </w:t>
      </w:r>
    </w:p>
    <w:p w14:paraId="6F02E370" w14:textId="77777777" w:rsidR="008F5CCF" w:rsidRDefault="00A81118">
      <w:pPr>
        <w:spacing w:after="39"/>
        <w:ind w:left="-15" w:right="0" w:firstLine="0"/>
      </w:pPr>
      <w:r>
        <w:t xml:space="preserve">La réception des demandes de financement est suivie d’une vérification de l’éligibilité. Les candidat·e·s éligibles seront ensuite invité·e·s à défendre leur projet lors d’une réunion d’instruction. </w:t>
      </w:r>
    </w:p>
    <w:p w14:paraId="5CDC23CA" w14:textId="77777777" w:rsidR="008F5CCF" w:rsidRDefault="00A81118">
      <w:pPr>
        <w:ind w:left="-15" w:right="0" w:firstLine="0"/>
      </w:pPr>
      <w:r>
        <w:t xml:space="preserve">Lors de cette réunion d’instruction, les candidat·e·s auront l’opportunité de présenter leur projet, suivi d’une séance de questions/réponses, au terme de laquelle une décision quant au financement sera prise. Pour les projets classés dans la catégorie “Recherche Industrielle”, un jury d’expert sera également organisé pour l’évaluation des aspects scientifiques du projet. </w:t>
      </w:r>
    </w:p>
    <w:p w14:paraId="0455F000" w14:textId="788B1C36" w:rsidR="008F5CCF" w:rsidRDefault="00A81118">
      <w:pPr>
        <w:ind w:left="-15" w:right="0" w:firstLine="0"/>
      </w:pPr>
      <w:r>
        <w:t>La décision de recommandation ou non pour financement étant prise au terme de la réunion d’instruction, il est crucial que les informations fournies dans le formulaire soient complètes, détaillées et étayées. Il est important de noter que les aspects suivants seront évalués</w:t>
      </w:r>
      <w:r w:rsidR="00077064">
        <w:rPr>
          <w:rStyle w:val="Appelnotedebasdep"/>
        </w:rPr>
        <w:footnoteReference w:id="1"/>
      </w:r>
      <w:r>
        <w:t xml:space="preserve"> : </w:t>
      </w:r>
    </w:p>
    <w:p w14:paraId="6FE4EDE3" w14:textId="77777777" w:rsidR="008F5CCF" w:rsidRDefault="00A81118">
      <w:pPr>
        <w:numPr>
          <w:ilvl w:val="0"/>
          <w:numId w:val="4"/>
        </w:numPr>
        <w:ind w:right="0" w:hanging="360"/>
      </w:pPr>
      <w:r>
        <w:rPr>
          <w:b/>
        </w:rPr>
        <w:t xml:space="preserve">Innovation et objectifs du projet : </w:t>
      </w:r>
      <w:r>
        <w:t xml:space="preserve">Les objectifs du projet doivent être clairs et concrets. De plus, le projet doit apporter des avancées significatives vis à vis de l’état de l’art du domaine concerné ou de ce qui est réalisé par les pionniers du secteur, ainsi que démontrer l’existence de challenges technique. </w:t>
      </w:r>
    </w:p>
    <w:p w14:paraId="3C871F04" w14:textId="2312FF28" w:rsidR="008F5CCF" w:rsidRDefault="00A81118">
      <w:pPr>
        <w:numPr>
          <w:ilvl w:val="0"/>
          <w:numId w:val="4"/>
        </w:numPr>
        <w:ind w:right="0" w:hanging="360"/>
      </w:pPr>
      <w:r>
        <w:rPr>
          <w:b/>
        </w:rPr>
        <w:t>Faisabilité et mise en œuvre :</w:t>
      </w:r>
      <w:r>
        <w:t xml:space="preserve"> le programme de travail doit être pertinent et réaliste tant en termes de tâches, de budget, d’expertise que de ressources. </w:t>
      </w:r>
      <w:r w:rsidR="0047541D">
        <w:t xml:space="preserve">Il doit également </w:t>
      </w:r>
      <w:r w:rsidR="00F26734" w:rsidRPr="00295B9A">
        <w:rPr>
          <w:lang w:val="fr-FR"/>
        </w:rPr>
        <w:t>intégrer une identification et une stratégie d'atténuation des risques technologiques et scientifiques et éthiques</w:t>
      </w:r>
      <w:r w:rsidR="00F26734">
        <w:rPr>
          <w:lang w:val="fr-FR"/>
        </w:rPr>
        <w:t>.</w:t>
      </w:r>
    </w:p>
    <w:p w14:paraId="26BDB88B" w14:textId="77777777" w:rsidR="008F5CCF" w:rsidRDefault="00A81118">
      <w:pPr>
        <w:numPr>
          <w:ilvl w:val="0"/>
          <w:numId w:val="4"/>
        </w:numPr>
        <w:ind w:right="0" w:hanging="360"/>
      </w:pPr>
      <w:r>
        <w:rPr>
          <w:b/>
        </w:rPr>
        <w:t>Impact stratégique et économique :</w:t>
      </w:r>
      <w:r>
        <w:t xml:space="preserve"> l’activité faisant l’objet du projet doit démontrer un réel potentiel de création de valeur. Les hypothèses sous-jacentes sont traduites en chiffres dans un plan financier et permettent de démontrer la pérennité économique de l’activité étudiée. Le projet doit s’inscrire dans la stratégie globale de l’organisation et refléter un business model viable. </w:t>
      </w:r>
    </w:p>
    <w:p w14:paraId="575D6909" w14:textId="319E177C" w:rsidR="008F5CCF" w:rsidRDefault="00A81118">
      <w:pPr>
        <w:numPr>
          <w:ilvl w:val="0"/>
          <w:numId w:val="4"/>
        </w:numPr>
        <w:ind w:right="0" w:hanging="360"/>
      </w:pPr>
      <w:r>
        <w:rPr>
          <w:b/>
        </w:rPr>
        <w:t>Valorisation et impact :</w:t>
      </w:r>
      <w:r>
        <w:t xml:space="preserve"> l’activité faisant l’objet du projet doit démontrer un impact social</w:t>
      </w:r>
      <w:r w:rsidR="00616488">
        <w:t xml:space="preserve"> et/ou</w:t>
      </w:r>
      <w:r>
        <w:t xml:space="preserve"> environnemental</w:t>
      </w:r>
      <w:r w:rsidR="00616488">
        <w:t>,</w:t>
      </w:r>
      <w:r>
        <w:t xml:space="preserve"> </w:t>
      </w:r>
      <w:r w:rsidR="00616488">
        <w:t>ainsi que</w:t>
      </w:r>
      <w:r>
        <w:t xml:space="preserve"> sur l’écosystème bruxellois. </w:t>
      </w:r>
    </w:p>
    <w:p w14:paraId="3593757B" w14:textId="77777777" w:rsidR="008F5CCF" w:rsidRDefault="00A81118">
      <w:pPr>
        <w:numPr>
          <w:ilvl w:val="0"/>
          <w:numId w:val="4"/>
        </w:numPr>
        <w:ind w:right="0" w:hanging="360"/>
      </w:pPr>
      <w:r>
        <w:rPr>
          <w:b/>
          <w:i/>
        </w:rPr>
        <w:t>Dans le cas d’un projet collaboratif</w:t>
      </w:r>
      <w:r>
        <w:rPr>
          <w:i/>
        </w:rPr>
        <w:t xml:space="preserve"> </w:t>
      </w:r>
      <w:r>
        <w:rPr>
          <w:b/>
          <w:i/>
        </w:rPr>
        <w:t xml:space="preserve">: </w:t>
      </w:r>
      <w:r>
        <w:t xml:space="preserve">la pertinence de la collaboration pour l’ensemble du projet est démontrée et la gestion de la collaboration est établie dans une stratégie concrète et efficace. </w:t>
      </w:r>
    </w:p>
    <w:p w14:paraId="750EC925" w14:textId="77777777" w:rsidR="008F5CCF" w:rsidRDefault="00A81118">
      <w:pPr>
        <w:spacing w:after="0" w:line="259" w:lineRule="auto"/>
        <w:ind w:left="0" w:right="0" w:firstLine="0"/>
        <w:jc w:val="left"/>
      </w:pPr>
      <w:r>
        <w:rPr>
          <w:rFonts w:ascii="Calibri" w:eastAsia="Calibri" w:hAnsi="Calibri" w:cs="Calibri"/>
          <w:sz w:val="22"/>
        </w:rPr>
        <w:t xml:space="preserve"> </w:t>
      </w:r>
    </w:p>
    <w:sectPr w:rsidR="008F5CCF">
      <w:headerReference w:type="even" r:id="rId12"/>
      <w:headerReference w:type="default" r:id="rId13"/>
      <w:footerReference w:type="even" r:id="rId14"/>
      <w:footerReference w:type="default" r:id="rId15"/>
      <w:headerReference w:type="first" r:id="rId16"/>
      <w:footerReference w:type="first" r:id="rId17"/>
      <w:pgSz w:w="11906" w:h="16838"/>
      <w:pgMar w:top="1423" w:right="1419" w:bottom="1547" w:left="1416" w:header="457" w:footer="6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6442F" w14:textId="77777777" w:rsidR="00694493" w:rsidRDefault="00694493">
      <w:pPr>
        <w:spacing w:after="0" w:line="240" w:lineRule="auto"/>
      </w:pPr>
      <w:r>
        <w:separator/>
      </w:r>
    </w:p>
  </w:endnote>
  <w:endnote w:type="continuationSeparator" w:id="0">
    <w:p w14:paraId="45DE602B" w14:textId="77777777" w:rsidR="00694493" w:rsidRDefault="00694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79DCA" w14:textId="77777777" w:rsidR="008F5CCF" w:rsidRDefault="00A81118">
    <w:pPr>
      <w:spacing w:after="0" w:line="259" w:lineRule="auto"/>
      <w:ind w:left="0" w:right="0" w:firstLine="0"/>
      <w:jc w:val="left"/>
    </w:pPr>
    <w:r>
      <w:rPr>
        <w:sz w:val="16"/>
      </w:rPr>
      <w:t xml:space="preserve">INNOVIRIS </w:t>
    </w:r>
  </w:p>
  <w:p w14:paraId="528D1830" w14:textId="77777777" w:rsidR="008F5CCF" w:rsidRDefault="00A81118">
    <w:pPr>
      <w:tabs>
        <w:tab w:val="center" w:pos="4537"/>
        <w:tab w:val="right" w:pos="9071"/>
      </w:tabs>
      <w:spacing w:after="43" w:line="259" w:lineRule="auto"/>
      <w:ind w:left="0" w:right="-4" w:firstLine="0"/>
      <w:jc w:val="left"/>
    </w:pPr>
    <w:r>
      <w:rPr>
        <w:sz w:val="16"/>
      </w:rPr>
      <w:t xml:space="preserve">Chaussée de Charleroi 112, 1060 Bruxelles </w:t>
    </w:r>
    <w:r>
      <w:rPr>
        <w:sz w:val="16"/>
      </w:rPr>
      <w:tab/>
      <w:t xml:space="preserve"> </w:t>
    </w:r>
    <w:r>
      <w:rPr>
        <w:sz w:val="16"/>
      </w:rPr>
      <w:tab/>
      <w:t xml:space="preserve">Règlement </w:t>
    </w:r>
  </w:p>
  <w:p w14:paraId="09E5C00F" w14:textId="77777777" w:rsidR="008F5CCF" w:rsidRDefault="00A81118">
    <w:pPr>
      <w:tabs>
        <w:tab w:val="center" w:pos="4537"/>
        <w:tab w:val="right" w:pos="9071"/>
      </w:tabs>
      <w:spacing w:after="0" w:line="259" w:lineRule="auto"/>
      <w:ind w:left="0" w:right="-5" w:firstLine="0"/>
      <w:jc w:val="left"/>
    </w:pPr>
    <w:proofErr w:type="gramStart"/>
    <w:r>
      <w:rPr>
        <w:sz w:val="16"/>
      </w:rPr>
      <w:t>T:</w:t>
    </w:r>
    <w:proofErr w:type="gramEnd"/>
    <w:r>
      <w:rPr>
        <w:sz w:val="16"/>
      </w:rPr>
      <w:t xml:space="preserve"> 02.600.50.34 </w:t>
    </w:r>
    <w:r>
      <w:rPr>
        <w:sz w:val="16"/>
      </w:rPr>
      <w:tab/>
      <w:t xml:space="preserve">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 </w:t>
    </w:r>
    <w:fldSimple w:instr=" NUMPAGES   \* MERGEFORMAT ">
      <w:r w:rsidR="008F5CCF">
        <w:rPr>
          <w:sz w:val="16"/>
        </w:rPr>
        <w:t>5</w:t>
      </w:r>
    </w:fldSimple>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B8152" w14:textId="77777777" w:rsidR="008F5CCF" w:rsidRDefault="00A81118">
    <w:pPr>
      <w:spacing w:after="0" w:line="259" w:lineRule="auto"/>
      <w:ind w:left="0" w:right="0" w:firstLine="0"/>
      <w:jc w:val="left"/>
    </w:pPr>
    <w:r>
      <w:rPr>
        <w:sz w:val="16"/>
      </w:rPr>
      <w:t xml:space="preserve">INNOVIRIS </w:t>
    </w:r>
  </w:p>
  <w:p w14:paraId="41ED0B45" w14:textId="77777777" w:rsidR="008F5CCF" w:rsidRDefault="00A81118">
    <w:pPr>
      <w:tabs>
        <w:tab w:val="center" w:pos="4537"/>
        <w:tab w:val="right" w:pos="9071"/>
      </w:tabs>
      <w:spacing w:after="43" w:line="259" w:lineRule="auto"/>
      <w:ind w:left="0" w:right="-4" w:firstLine="0"/>
      <w:jc w:val="left"/>
    </w:pPr>
    <w:r>
      <w:rPr>
        <w:sz w:val="16"/>
      </w:rPr>
      <w:t xml:space="preserve">Chaussée de Charleroi 112, 1060 Bruxelles </w:t>
    </w:r>
    <w:r>
      <w:rPr>
        <w:sz w:val="16"/>
      </w:rPr>
      <w:tab/>
      <w:t xml:space="preserve"> </w:t>
    </w:r>
    <w:r>
      <w:rPr>
        <w:sz w:val="16"/>
      </w:rPr>
      <w:tab/>
      <w:t xml:space="preserve">Règlement </w:t>
    </w:r>
  </w:p>
  <w:p w14:paraId="3DD61FCC" w14:textId="77777777" w:rsidR="008F5CCF" w:rsidRDefault="00A81118">
    <w:pPr>
      <w:tabs>
        <w:tab w:val="center" w:pos="4537"/>
        <w:tab w:val="right" w:pos="9071"/>
      </w:tabs>
      <w:spacing w:after="0" w:line="259" w:lineRule="auto"/>
      <w:ind w:left="0" w:right="-5" w:firstLine="0"/>
      <w:jc w:val="left"/>
    </w:pPr>
    <w:proofErr w:type="gramStart"/>
    <w:r>
      <w:rPr>
        <w:sz w:val="16"/>
      </w:rPr>
      <w:t>T:</w:t>
    </w:r>
    <w:proofErr w:type="gramEnd"/>
    <w:r>
      <w:rPr>
        <w:sz w:val="16"/>
      </w:rPr>
      <w:t xml:space="preserve"> 02.600.50.34 </w:t>
    </w:r>
    <w:r>
      <w:rPr>
        <w:sz w:val="16"/>
      </w:rPr>
      <w:tab/>
      <w:t xml:space="preserve">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 </w:t>
    </w:r>
    <w:fldSimple w:instr=" NUMPAGES   \* MERGEFORMAT ">
      <w:r w:rsidR="008F5CCF">
        <w:rPr>
          <w:sz w:val="16"/>
        </w:rPr>
        <w:t>5</w:t>
      </w:r>
    </w:fldSimple>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2E2C5" w14:textId="77777777" w:rsidR="008F5CCF" w:rsidRDefault="00A81118">
    <w:pPr>
      <w:spacing w:after="0" w:line="259" w:lineRule="auto"/>
      <w:ind w:left="0" w:right="0" w:firstLine="0"/>
      <w:jc w:val="left"/>
    </w:pPr>
    <w:r>
      <w:rPr>
        <w:sz w:val="16"/>
      </w:rPr>
      <w:t xml:space="preserve">INNOVIRIS </w:t>
    </w:r>
  </w:p>
  <w:p w14:paraId="11A27DE7" w14:textId="77777777" w:rsidR="008F5CCF" w:rsidRDefault="00A81118">
    <w:pPr>
      <w:tabs>
        <w:tab w:val="center" w:pos="4537"/>
        <w:tab w:val="right" w:pos="9071"/>
      </w:tabs>
      <w:spacing w:after="43" w:line="259" w:lineRule="auto"/>
      <w:ind w:left="0" w:right="-4" w:firstLine="0"/>
      <w:jc w:val="left"/>
    </w:pPr>
    <w:r>
      <w:rPr>
        <w:sz w:val="16"/>
      </w:rPr>
      <w:t xml:space="preserve">Chaussée de Charleroi 112, 1060 Bruxelles </w:t>
    </w:r>
    <w:r>
      <w:rPr>
        <w:sz w:val="16"/>
      </w:rPr>
      <w:tab/>
      <w:t xml:space="preserve"> </w:t>
    </w:r>
    <w:r>
      <w:rPr>
        <w:sz w:val="16"/>
      </w:rPr>
      <w:tab/>
      <w:t xml:space="preserve">Règlement </w:t>
    </w:r>
  </w:p>
  <w:p w14:paraId="21C4D4B2" w14:textId="77777777" w:rsidR="008F5CCF" w:rsidRDefault="00A81118">
    <w:pPr>
      <w:tabs>
        <w:tab w:val="center" w:pos="4537"/>
        <w:tab w:val="right" w:pos="9071"/>
      </w:tabs>
      <w:spacing w:after="0" w:line="259" w:lineRule="auto"/>
      <w:ind w:left="0" w:right="-5" w:firstLine="0"/>
      <w:jc w:val="left"/>
    </w:pPr>
    <w:proofErr w:type="gramStart"/>
    <w:r>
      <w:rPr>
        <w:sz w:val="16"/>
      </w:rPr>
      <w:t>T:</w:t>
    </w:r>
    <w:proofErr w:type="gramEnd"/>
    <w:r>
      <w:rPr>
        <w:sz w:val="16"/>
      </w:rPr>
      <w:t xml:space="preserve"> 02.600.50.34 </w:t>
    </w:r>
    <w:r>
      <w:rPr>
        <w:sz w:val="16"/>
      </w:rPr>
      <w:tab/>
      <w:t xml:space="preserve">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 </w:t>
    </w:r>
    <w:fldSimple w:instr=" NUMPAGES   \* MERGEFORMAT ">
      <w:r w:rsidR="008F5CCF">
        <w:rPr>
          <w:sz w:val="16"/>
        </w:rPr>
        <w:t>5</w:t>
      </w:r>
    </w:fldSimple>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BCEA4" w14:textId="77777777" w:rsidR="00694493" w:rsidRDefault="00694493">
      <w:pPr>
        <w:spacing w:after="0" w:line="240" w:lineRule="auto"/>
      </w:pPr>
      <w:r>
        <w:separator/>
      </w:r>
    </w:p>
  </w:footnote>
  <w:footnote w:type="continuationSeparator" w:id="0">
    <w:p w14:paraId="3FB1669C" w14:textId="77777777" w:rsidR="00694493" w:rsidRDefault="00694493">
      <w:pPr>
        <w:spacing w:after="0" w:line="240" w:lineRule="auto"/>
      </w:pPr>
      <w:r>
        <w:continuationSeparator/>
      </w:r>
    </w:p>
  </w:footnote>
  <w:footnote w:id="1">
    <w:p w14:paraId="0BC648EB" w14:textId="123EDCA6" w:rsidR="00077064" w:rsidRPr="00077064" w:rsidRDefault="00077064" w:rsidP="00077064">
      <w:pPr>
        <w:spacing w:after="0" w:line="240" w:lineRule="auto"/>
        <w:ind w:left="0" w:right="0" w:firstLine="0"/>
        <w:jc w:val="left"/>
        <w:textAlignment w:val="baseline"/>
      </w:pPr>
      <w:r w:rsidRPr="00077064">
        <w:rPr>
          <w:rStyle w:val="Appelnotedebasdep"/>
          <w:sz w:val="18"/>
          <w:szCs w:val="18"/>
        </w:rPr>
        <w:footnoteRef/>
      </w:r>
      <w:r w:rsidRPr="00077064">
        <w:rPr>
          <w:sz w:val="18"/>
          <w:szCs w:val="18"/>
        </w:rPr>
        <w:t xml:space="preserve"> </w:t>
      </w:r>
      <w:r w:rsidRPr="00077064">
        <w:rPr>
          <w:sz w:val="18"/>
          <w:szCs w:val="18"/>
          <w:lang w:val="fr-FR"/>
        </w:rPr>
        <w:t xml:space="preserve">En application de l’ </w:t>
      </w:r>
      <w:hyperlink r:id="rId1" w:history="1">
        <w:r w:rsidRPr="00077064">
          <w:rPr>
            <w:rFonts w:eastAsia="Times New Roman"/>
            <w:color w:val="4046C0"/>
            <w:kern w:val="0"/>
            <w:sz w:val="18"/>
            <w:szCs w:val="18"/>
            <w:u w:val="single"/>
            <w:bdr w:val="none" w:sz="0" w:space="0" w:color="auto" w:frame="1"/>
            <w14:ligatures w14:val="none"/>
          </w:rPr>
          <w:t>Ordonnance du 27 juillet 2017</w:t>
        </w:r>
      </w:hyperlink>
      <w:r w:rsidRPr="00077064">
        <w:rPr>
          <w:rFonts w:eastAsia="Times New Roman"/>
          <w:color w:val="070B5C"/>
          <w:kern w:val="0"/>
          <w:sz w:val="18"/>
          <w:szCs w:val="18"/>
          <w14:ligatures w14:val="none"/>
        </w:rPr>
        <w:t> </w:t>
      </w:r>
      <w:r w:rsidRPr="00077064">
        <w:rPr>
          <w:rFonts w:eastAsia="Times New Roman"/>
          <w:color w:val="auto"/>
          <w:kern w:val="0"/>
          <w:sz w:val="18"/>
          <w:szCs w:val="18"/>
          <w14:ligatures w14:val="none"/>
        </w:rPr>
        <w:t>visant à promouvoir la recherche, le développement et l'innovation par l'octroi d'aides affectées à des finalités économiques en faveur des entreprises et des organismes de recherche assimilés à des entreprises, telle que modifiée par l’Ordonnance du 4 avril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447B5" w14:textId="77777777" w:rsidR="008F5CCF" w:rsidRDefault="00A81118">
    <w:pPr>
      <w:spacing w:after="0" w:line="259" w:lineRule="auto"/>
      <w:ind w:left="-791" w:right="-52" w:firstLine="0"/>
      <w:jc w:val="right"/>
    </w:pPr>
    <w:r>
      <w:rPr>
        <w:noProof/>
      </w:rPr>
      <w:drawing>
        <wp:anchor distT="0" distB="0" distL="114300" distR="114300" simplePos="0" relativeHeight="251658240" behindDoc="0" locked="0" layoutInCell="1" allowOverlap="0" wp14:anchorId="1384BEBF" wp14:editId="669668AC">
          <wp:simplePos x="0" y="0"/>
          <wp:positionH relativeFrom="page">
            <wp:posOffset>396875</wp:posOffset>
          </wp:positionH>
          <wp:positionV relativeFrom="page">
            <wp:posOffset>290195</wp:posOffset>
          </wp:positionV>
          <wp:extent cx="1318260" cy="601980"/>
          <wp:effectExtent l="0" t="0" r="0" b="0"/>
          <wp:wrapSquare wrapText="bothSides"/>
          <wp:docPr id="2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318260" cy="601980"/>
                  </a:xfrm>
                  <a:prstGeom prst="rect">
                    <a:avLst/>
                  </a:prstGeom>
                </pic:spPr>
              </pic:pic>
            </a:graphicData>
          </a:graphic>
        </wp:anchor>
      </w:drawing>
    </w:r>
    <w:r>
      <w:rPr>
        <w:rFonts w:ascii="Calibri" w:eastAsia="Calibri" w:hAnsi="Calibri" w:cs="Calibri"/>
        <w:sz w:val="22"/>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98EE4" w14:textId="24028780" w:rsidR="008F5CCF" w:rsidRDefault="00A81118" w:rsidP="00A81118">
    <w:pPr>
      <w:spacing w:after="0" w:line="259" w:lineRule="auto"/>
      <w:ind w:left="-791" w:right="-52" w:firstLine="0"/>
      <w:jc w:val="left"/>
    </w:pPr>
    <w:r w:rsidRPr="00C90545">
      <w:rPr>
        <w:noProof/>
      </w:rPr>
      <w:drawing>
        <wp:inline distT="0" distB="0" distL="0" distR="0" wp14:anchorId="1015113F" wp14:editId="134345E7">
          <wp:extent cx="1238060" cy="579120"/>
          <wp:effectExtent l="0" t="0" r="635" b="0"/>
          <wp:docPr id="950731114"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771350" name="Image 1" descr="Une image contenant texte, Police, logo, Graphique&#10;&#10;Le contenu généré par l’IA peut être incorrect."/>
                  <pic:cNvPicPr/>
                </pic:nvPicPr>
                <pic:blipFill rotWithShape="1">
                  <a:blip r:embed="rId1"/>
                  <a:srcRect t="16483"/>
                  <a:stretch>
                    <a:fillRect/>
                  </a:stretch>
                </pic:blipFill>
                <pic:spPr bwMode="auto">
                  <a:xfrm>
                    <a:off x="0" y="0"/>
                    <a:ext cx="1246182" cy="582919"/>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sz w:val="22"/>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3838A" w14:textId="77777777" w:rsidR="008F5CCF" w:rsidRDefault="00A81118">
    <w:pPr>
      <w:spacing w:after="0" w:line="259" w:lineRule="auto"/>
      <w:ind w:left="-791" w:right="-52" w:firstLine="0"/>
      <w:jc w:val="right"/>
    </w:pPr>
    <w:r>
      <w:rPr>
        <w:noProof/>
      </w:rPr>
      <w:drawing>
        <wp:anchor distT="0" distB="0" distL="114300" distR="114300" simplePos="0" relativeHeight="251660288" behindDoc="0" locked="0" layoutInCell="1" allowOverlap="0" wp14:anchorId="1E96BAB4" wp14:editId="178548FC">
          <wp:simplePos x="0" y="0"/>
          <wp:positionH relativeFrom="page">
            <wp:posOffset>396875</wp:posOffset>
          </wp:positionH>
          <wp:positionV relativeFrom="page">
            <wp:posOffset>290195</wp:posOffset>
          </wp:positionV>
          <wp:extent cx="1318260" cy="601980"/>
          <wp:effectExtent l="0" t="0" r="0" b="0"/>
          <wp:wrapSquare wrapText="bothSides"/>
          <wp:docPr id="162861240"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318260" cy="601980"/>
                  </a:xfrm>
                  <a:prstGeom prst="rect">
                    <a:avLst/>
                  </a:prstGeom>
                </pic:spPr>
              </pic:pic>
            </a:graphicData>
          </a:graphic>
        </wp:anchor>
      </w:drawing>
    </w:r>
    <w:r>
      <w:rPr>
        <w:rFonts w:ascii="Calibri" w:eastAsia="Calibri" w:hAnsi="Calibri" w:cs="Calibri"/>
        <w:sz w:val="22"/>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7E019C"/>
    <w:multiLevelType w:val="hybridMultilevel"/>
    <w:tmpl w:val="F6E079CE"/>
    <w:lvl w:ilvl="0" w:tplc="46F6A91A">
      <w:start w:val="1"/>
      <w:numFmt w:val="bullet"/>
      <w:lvlText w:val="•"/>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74831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F26468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976EFD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00EA9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E5A02E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728A6C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8ADDE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C10AB5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3052064"/>
    <w:multiLevelType w:val="multilevel"/>
    <w:tmpl w:val="B1709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F94609"/>
    <w:multiLevelType w:val="hybridMultilevel"/>
    <w:tmpl w:val="1E90E7E4"/>
    <w:lvl w:ilvl="0" w:tplc="91A4CD2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0C09C6">
      <w:start w:val="1"/>
      <w:numFmt w:val="bullet"/>
      <w:lvlText w:val="o"/>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09811A0">
      <w:start w:val="1"/>
      <w:numFmt w:val="bullet"/>
      <w:lvlText w:val="▪"/>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7E2C46">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368314">
      <w:start w:val="1"/>
      <w:numFmt w:val="bullet"/>
      <w:lvlText w:val="o"/>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CA28C66">
      <w:start w:val="1"/>
      <w:numFmt w:val="bullet"/>
      <w:lvlText w:val="▪"/>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B28C09C">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4EBB98">
      <w:start w:val="1"/>
      <w:numFmt w:val="bullet"/>
      <w:lvlText w:val="o"/>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AADED6">
      <w:start w:val="1"/>
      <w:numFmt w:val="bullet"/>
      <w:lvlText w:val="▪"/>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6CE2EEF"/>
    <w:multiLevelType w:val="hybridMultilevel"/>
    <w:tmpl w:val="893685DE"/>
    <w:lvl w:ilvl="0" w:tplc="3140F162">
      <w:start w:val="1"/>
      <w:numFmt w:val="bullet"/>
      <w:lvlText w:val="•"/>
      <w:lvlJc w:val="left"/>
      <w:pPr>
        <w:ind w:left="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02A46C">
      <w:start w:val="1"/>
      <w:numFmt w:val="bullet"/>
      <w:lvlText w:val="o"/>
      <w:lvlJc w:val="left"/>
      <w:pPr>
        <w:ind w:left="14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F5612CA">
      <w:start w:val="1"/>
      <w:numFmt w:val="bullet"/>
      <w:lvlText w:val="▪"/>
      <w:lvlJc w:val="left"/>
      <w:pPr>
        <w:ind w:left="21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40E9CD0">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0A4B02">
      <w:start w:val="1"/>
      <w:numFmt w:val="bullet"/>
      <w:lvlText w:val="o"/>
      <w:lvlJc w:val="left"/>
      <w:pPr>
        <w:ind w:left="35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D506BDE">
      <w:start w:val="1"/>
      <w:numFmt w:val="bullet"/>
      <w:lvlText w:val="▪"/>
      <w:lvlJc w:val="left"/>
      <w:pPr>
        <w:ind w:left="43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0A89B78">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BCA6F2">
      <w:start w:val="1"/>
      <w:numFmt w:val="bullet"/>
      <w:lvlText w:val="o"/>
      <w:lvlJc w:val="left"/>
      <w:pPr>
        <w:ind w:left="57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1D29CB6">
      <w:start w:val="1"/>
      <w:numFmt w:val="bullet"/>
      <w:lvlText w:val="▪"/>
      <w:lvlJc w:val="left"/>
      <w:pPr>
        <w:ind w:left="64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99048D8"/>
    <w:multiLevelType w:val="hybridMultilevel"/>
    <w:tmpl w:val="7B3E74F6"/>
    <w:lvl w:ilvl="0" w:tplc="70725B3A">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4E0A592">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4049628">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32AFE6">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95CAEA4">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621550">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084B08A">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4225BA4">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2DEB7A8">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468783750">
    <w:abstractNumId w:val="4"/>
  </w:num>
  <w:num w:numId="2" w16cid:durableId="387264747">
    <w:abstractNumId w:val="0"/>
  </w:num>
  <w:num w:numId="3" w16cid:durableId="117186508">
    <w:abstractNumId w:val="3"/>
  </w:num>
  <w:num w:numId="4" w16cid:durableId="592012593">
    <w:abstractNumId w:val="2"/>
  </w:num>
  <w:num w:numId="5" w16cid:durableId="824711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CCF"/>
    <w:rsid w:val="000723F6"/>
    <w:rsid w:val="00077064"/>
    <w:rsid w:val="00283FC7"/>
    <w:rsid w:val="0047541D"/>
    <w:rsid w:val="004A4DB0"/>
    <w:rsid w:val="00616488"/>
    <w:rsid w:val="00694493"/>
    <w:rsid w:val="0080343A"/>
    <w:rsid w:val="008F5CCF"/>
    <w:rsid w:val="00A81118"/>
    <w:rsid w:val="00D4596A"/>
    <w:rsid w:val="00F26734"/>
    <w:rsid w:val="00FF76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0A66C"/>
  <w15:docId w15:val="{E7D4EC44-1983-4A90-BFF0-D7BFB4F12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BE" w:eastAsia="fr-B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2" w:lineRule="auto"/>
      <w:ind w:left="365" w:right="9" w:hanging="365"/>
      <w:jc w:val="both"/>
    </w:pPr>
    <w:rPr>
      <w:rFonts w:ascii="Arial" w:eastAsia="Arial" w:hAnsi="Arial" w:cs="Arial"/>
      <w:color w:val="000000"/>
      <w:sz w:val="20"/>
    </w:rPr>
  </w:style>
  <w:style w:type="paragraph" w:styleId="Titre1">
    <w:name w:val="heading 1"/>
    <w:next w:val="Normal"/>
    <w:link w:val="Titre1Car"/>
    <w:uiPriority w:val="9"/>
    <w:qFormat/>
    <w:pPr>
      <w:keepNext/>
      <w:keepLines/>
      <w:spacing w:after="0" w:line="259" w:lineRule="auto"/>
      <w:ind w:left="4"/>
      <w:jc w:val="center"/>
      <w:outlineLvl w:val="0"/>
    </w:pPr>
    <w:rPr>
      <w:rFonts w:ascii="Arial" w:eastAsia="Arial" w:hAnsi="Arial" w:cs="Arial"/>
      <w:b/>
      <w:color w:val="000000"/>
      <w:sz w:val="40"/>
    </w:rPr>
  </w:style>
  <w:style w:type="paragraph" w:styleId="Titre2">
    <w:name w:val="heading 2"/>
    <w:next w:val="Normal"/>
    <w:link w:val="Titre2Car"/>
    <w:uiPriority w:val="9"/>
    <w:unhideWhenUsed/>
    <w:qFormat/>
    <w:pPr>
      <w:keepNext/>
      <w:keepLines/>
      <w:spacing w:after="0" w:line="259" w:lineRule="auto"/>
      <w:ind w:left="10" w:hanging="10"/>
      <w:outlineLvl w:val="1"/>
    </w:pPr>
    <w:rPr>
      <w:rFonts w:ascii="Arial" w:eastAsia="Arial" w:hAnsi="Arial" w:cs="Arial"/>
      <w:b/>
      <w:color w:val="004586"/>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4586"/>
      <w:sz w:val="28"/>
    </w:rPr>
  </w:style>
  <w:style w:type="character" w:customStyle="1" w:styleId="Titre1Car">
    <w:name w:val="Titre 1 Car"/>
    <w:link w:val="Titre1"/>
    <w:rPr>
      <w:rFonts w:ascii="Arial" w:eastAsia="Arial" w:hAnsi="Arial" w:cs="Arial"/>
      <w:b/>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tedebasdepage">
    <w:name w:val="footnote text"/>
    <w:basedOn w:val="Normal"/>
    <w:link w:val="NotedebasdepageCar"/>
    <w:uiPriority w:val="99"/>
    <w:semiHidden/>
    <w:unhideWhenUsed/>
    <w:rsid w:val="00077064"/>
    <w:pPr>
      <w:spacing w:after="0" w:line="240" w:lineRule="auto"/>
    </w:pPr>
    <w:rPr>
      <w:szCs w:val="20"/>
    </w:rPr>
  </w:style>
  <w:style w:type="character" w:customStyle="1" w:styleId="NotedebasdepageCar">
    <w:name w:val="Note de bas de page Car"/>
    <w:basedOn w:val="Policepardfaut"/>
    <w:link w:val="Notedebasdepage"/>
    <w:uiPriority w:val="99"/>
    <w:semiHidden/>
    <w:rsid w:val="00077064"/>
    <w:rPr>
      <w:rFonts w:ascii="Arial" w:eastAsia="Arial" w:hAnsi="Arial" w:cs="Arial"/>
      <w:color w:val="000000"/>
      <w:sz w:val="20"/>
      <w:szCs w:val="20"/>
    </w:rPr>
  </w:style>
  <w:style w:type="character" w:styleId="Appelnotedebasdep">
    <w:name w:val="footnote reference"/>
    <w:basedOn w:val="Policepardfaut"/>
    <w:uiPriority w:val="99"/>
    <w:semiHidden/>
    <w:unhideWhenUsed/>
    <w:rsid w:val="00077064"/>
    <w:rPr>
      <w:vertAlign w:val="superscript"/>
    </w:rPr>
  </w:style>
  <w:style w:type="character" w:styleId="Lienhypertexte">
    <w:name w:val="Hyperlink"/>
    <w:basedOn w:val="Policepardfaut"/>
    <w:uiPriority w:val="99"/>
    <w:semiHidden/>
    <w:unhideWhenUsed/>
    <w:rsid w:val="000770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innoviris.brussels/fr/documents/directives-comptables-generiques-202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viris.brussels/fr/documents/directives-comptables-generiques-202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nnoviris.brussels/fr/documents/directives-comptables-generiques-20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noviris.brussels/fr/documents/directives-comptables-generiques-2021"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justice.just.fgov.be/cgi_loi/article.pl?language=fr&amp;sum_date=&amp;pd_search=2017-09-12&amp;numac_search=2017040699&amp;page=1&amp;lg_txt=F&amp;caller=list&amp;2017040699=6&amp;trier=promulgation&amp;view_numac=2017072709fr&amp;dt=ORDONNANCE+(BRUXELLES)&amp;ddd=2017-07-27&amp;fr=f&amp;cc=DROIT+PUBLIC&amp;choix1=et&amp;choix2=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A18B3-B2FA-4FE0-8635-BFDC8C265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1594</Words>
  <Characters>8768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cp:lastModifiedBy>Aiko Gryspeirt</cp:lastModifiedBy>
  <cp:revision>9</cp:revision>
  <dcterms:created xsi:type="dcterms:W3CDTF">2025-08-26T15:21:00Z</dcterms:created>
  <dcterms:modified xsi:type="dcterms:W3CDTF">2025-08-27T12:43:00Z</dcterms:modified>
</cp:coreProperties>
</file>